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  <w:highlight w:val="none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3GPP TSG RAN WG1 meeting #11</w:t>
      </w:r>
      <w:r>
        <w:rPr>
          <w:rFonts w:hint="eastAsia" w:ascii="Arial" w:hAnsi="Arial" w:cs="Arial"/>
          <w:b/>
          <w:bCs/>
          <w:sz w:val="22"/>
          <w:szCs w:val="22"/>
        </w:rPr>
        <w:t>4bis</w:t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                                  </w:t>
      </w:r>
      <w:r>
        <w:rPr>
          <w:rFonts w:ascii="Arial" w:hAnsi="Arial" w:cs="Arial"/>
          <w:b/>
          <w:bCs/>
          <w:sz w:val="22"/>
          <w:szCs w:val="22"/>
          <w:highlight w:val="none"/>
          <w:lang w:eastAsia="ja-JP"/>
        </w:rPr>
        <w:t>R1-2</w:t>
      </w:r>
      <w:r>
        <w:rPr>
          <w:rFonts w:hint="eastAsia" w:ascii="Arial" w:hAnsi="Arial" w:cs="Arial"/>
          <w:b/>
          <w:bCs/>
          <w:sz w:val="22"/>
          <w:szCs w:val="22"/>
          <w:highlight w:val="none"/>
        </w:rPr>
        <w:t>30</w:t>
      </w:r>
      <w:r>
        <w:rPr>
          <w:rFonts w:hint="eastAsia" w:ascii="Arial" w:hAnsi="Arial" w:cs="Arial"/>
          <w:b/>
          <w:bCs/>
          <w:sz w:val="22"/>
          <w:szCs w:val="22"/>
          <w:highlight w:val="none"/>
          <w:lang w:val="en-US" w:eastAsia="zh-CN"/>
        </w:rPr>
        <w:t>9180</w:t>
      </w:r>
    </w:p>
    <w:p>
      <w:pPr>
        <w:spacing w:before="120" w:after="120"/>
        <w:rPr>
          <w:sz w:val="22"/>
          <w:szCs w:val="22"/>
        </w:rPr>
      </w:pPr>
      <w:r>
        <w:rPr>
          <w:rFonts w:hint="eastAsia" w:ascii="Arial" w:hAnsi="Arial" w:cs="Arial"/>
          <w:b/>
          <w:bCs/>
          <w:sz w:val="22"/>
          <w:szCs w:val="22"/>
        </w:rPr>
        <w:t>Xiamen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hint="eastAsia" w:ascii="Arial" w:hAnsi="Arial" w:cs="Arial"/>
          <w:b/>
          <w:bCs/>
          <w:sz w:val="22"/>
          <w:szCs w:val="22"/>
        </w:rPr>
        <w:t>China, Oct 9</w:t>
      </w:r>
      <w:r>
        <w:rPr>
          <w:rFonts w:hint="eastAsia"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eastAsia="MS Mincho" w:cs="Arial"/>
          <w:b/>
          <w:bCs/>
          <w:sz w:val="22"/>
          <w:szCs w:val="22"/>
        </w:rPr>
        <w:t xml:space="preserve"> – </w:t>
      </w:r>
      <w:r>
        <w:rPr>
          <w:rFonts w:hint="eastAsia" w:ascii="Arial" w:hAnsi="Arial" w:cs="Arial"/>
          <w:b/>
          <w:bCs/>
          <w:sz w:val="22"/>
          <w:szCs w:val="22"/>
        </w:rPr>
        <w:t>Oct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hint="eastAsia" w:ascii="Arial" w:hAnsi="Arial" w:cs="Arial"/>
          <w:b/>
          <w:bCs/>
          <w:sz w:val="22"/>
          <w:szCs w:val="22"/>
        </w:rPr>
        <w:t>13</w:t>
      </w:r>
      <w:r>
        <w:rPr>
          <w:rFonts w:hint="eastAsia"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p>
      <w:pPr>
        <w:keepNext w:val="0"/>
        <w:keepLines w:val="0"/>
        <w:pageBreakBefore w:val="0"/>
        <w:widowControl/>
        <w:tabs>
          <w:tab w:val="center" w:pos="4536"/>
          <w:tab w:val="righ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 w:afterLines="0" w:line="260" w:lineRule="auto"/>
        <w:textAlignment w:val="auto"/>
        <w:rPr>
          <w:rFonts w:ascii="Arial" w:hAnsi="Arial" w:cs="Arial"/>
          <w:b/>
          <w:bCs/>
          <w:sz w:val="22"/>
          <w:szCs w:val="22"/>
        </w:rPr>
      </w:pPr>
    </w:p>
    <w:p>
      <w:pPr>
        <w:tabs>
          <w:tab w:val="left" w:pos="1985"/>
        </w:tabs>
        <w:spacing w:before="0" w:beforeLines="0" w:after="120" w:line="260" w:lineRule="auto"/>
        <w:ind w:left="1984" w:hanging="1984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>Discussion on remaining issues of XR </w:t>
      </w:r>
    </w:p>
    <w:p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>ZTE, Sanechips</w:t>
      </w:r>
    </w:p>
    <w:p>
      <w:pPr>
        <w:tabs>
          <w:tab w:val="left" w:pos="1985"/>
        </w:tabs>
        <w:spacing w:before="120" w:after="120"/>
        <w:rPr>
          <w:b/>
          <w:sz w:val="20"/>
          <w:szCs w:val="22"/>
          <w:highlight w:val="yellow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hint="eastAsia" w:ascii="Arial" w:hAnsi="Arial"/>
          <w:b/>
          <w:sz w:val="22"/>
          <w:szCs w:val="22"/>
        </w:rPr>
        <w:t>8</w:t>
      </w:r>
      <w:r>
        <w:rPr>
          <w:rFonts w:ascii="Arial" w:hAnsi="Arial"/>
          <w:b/>
          <w:sz w:val="22"/>
          <w:szCs w:val="22"/>
        </w:rPr>
        <w:t>.</w:t>
      </w:r>
      <w:r>
        <w:rPr>
          <w:rFonts w:hint="eastAsia" w:ascii="Arial" w:hAnsi="Arial"/>
          <w:b/>
          <w:sz w:val="22"/>
          <w:szCs w:val="22"/>
        </w:rPr>
        <w:t>6</w:t>
      </w:r>
      <w:r>
        <w:rPr>
          <w:rFonts w:ascii="Arial" w:hAnsi="Arial"/>
          <w:b/>
          <w:sz w:val="22"/>
          <w:szCs w:val="22"/>
        </w:rPr>
        <w:t>.1</w:t>
      </w:r>
    </w:p>
    <w:p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hint="eastAsia" w:ascii="Arial" w:hAnsi="Arial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hint="eastAsia" w:eastAsia="宋体"/>
        </w:rPr>
        <w:t>Introduction</w:t>
      </w:r>
    </w:p>
    <w:p>
      <w:pPr>
        <w:spacing w:before="120" w:after="120"/>
        <w:rPr>
          <w:szCs w:val="21"/>
        </w:rPr>
      </w:pPr>
      <w:r>
        <w:rPr>
          <w:rFonts w:hint="eastAsia"/>
          <w:szCs w:val="21"/>
        </w:rPr>
        <w:t xml:space="preserve">In this paper, we discuss about the remaining issues on </w:t>
      </w:r>
      <w:r>
        <w:rPr>
          <w:szCs w:val="21"/>
        </w:rPr>
        <w:t xml:space="preserve">XR based on </w:t>
      </w:r>
      <w:r>
        <w:rPr>
          <w:rFonts w:hint="eastAsia"/>
          <w:szCs w:val="21"/>
        </w:rPr>
        <w:t xml:space="preserve">TS38.212 [1], TS38.213 [2]. And we suggest to add a new RRC parameter for resumption of PDCCH monitoring after NACK based on the agreement in RAN#101 [3]. </w:t>
      </w:r>
    </w:p>
    <w:p>
      <w:pPr>
        <w:pStyle w:val="2"/>
        <w:spacing w:before="120" w:after="120"/>
        <w:ind w:left="0"/>
      </w:pPr>
      <w:r>
        <w:rPr>
          <w:rFonts w:hint="eastAsia" w:eastAsia="宋体"/>
        </w:rPr>
        <w:t xml:space="preserve">Remaining issues on </w:t>
      </w:r>
      <w:r>
        <w:rPr>
          <w:rFonts w:hint="eastAsia" w:eastAsia="宋体"/>
          <w:lang w:val="en-US" w:eastAsia="zh-CN"/>
        </w:rPr>
        <w:t xml:space="preserve">XR </w:t>
      </w:r>
      <w:r>
        <w:rPr>
          <w:rFonts w:hint="eastAsia" w:eastAsia="宋体"/>
        </w:rPr>
        <w:t>c</w:t>
      </w:r>
      <w:r>
        <w:rPr>
          <w:rFonts w:eastAsia="宋体"/>
        </w:rPr>
        <w:t>apacity enhancement</w:t>
      </w:r>
    </w:p>
    <w:p>
      <w:pPr>
        <w:pStyle w:val="3"/>
        <w:spacing w:before="120" w:after="120"/>
        <w:ind w:left="991" w:right="210" w:hanging="991" w:hangingChars="354"/>
      </w:pPr>
      <w:r>
        <w:rPr>
          <w:rFonts w:eastAsia="宋体"/>
        </w:rPr>
        <w:t>TP for TS</w:t>
      </w:r>
      <w:r>
        <w:rPr>
          <w:rFonts w:hint="eastAsia" w:eastAsia="宋体"/>
        </w:rPr>
        <w:t>38.212</w:t>
      </w:r>
    </w:p>
    <w:p>
      <w:pPr>
        <w:spacing w:before="120" w:after="120"/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 xml:space="preserve">6.3.2.4 Rate matching </w:t>
      </w:r>
    </w:p>
    <w:p>
      <w:pPr>
        <w:spacing w:before="120" w:after="120"/>
      </w:pPr>
      <w:r>
        <w:rPr>
          <w:rFonts w:hint="eastAsia"/>
        </w:rPr>
        <w:t xml:space="preserve">In [1], there is no description about UTO-UCI in the </w:t>
      </w:r>
      <w:r>
        <w:t>clause</w:t>
      </w:r>
      <w:r>
        <w:rPr>
          <w:rFonts w:hint="eastAsia"/>
        </w:rPr>
        <w:t xml:space="preserve"> 6.3.2.4.1 (i.e., UCI encoded by Polar code), because the maximum </w:t>
      </w:r>
      <w:r>
        <w:rPr>
          <w:rFonts w:hint="eastAsia"/>
          <w:lang w:val="en-US" w:eastAsia="zh-CN"/>
        </w:rPr>
        <w:t>size</w:t>
      </w:r>
      <w:r>
        <w:rPr>
          <w:rFonts w:hint="eastAsia"/>
        </w:rPr>
        <w:t xml:space="preserve"> of </w:t>
      </w:r>
      <w:r>
        <w:rPr>
          <w:rFonts w:hint="eastAsia"/>
          <w:lang w:val="en-US" w:eastAsia="zh-CN"/>
        </w:rPr>
        <w:t xml:space="preserve">bit-map of </w:t>
      </w:r>
      <w:r>
        <w:rPr>
          <w:rFonts w:hint="eastAsia"/>
        </w:rPr>
        <w:t>UTO-UCI is 8. From our perspective, although the length of UTO-UCI is less than 11 bit</w:t>
      </w:r>
      <w:r>
        <w:t>s</w:t>
      </w:r>
      <w:r>
        <w:rPr>
          <w:rFonts w:hint="eastAsia"/>
        </w:rPr>
        <w:t>, the length of UCI sequence would be larger than 11 bit</w:t>
      </w:r>
      <w:r>
        <w:t>s</w:t>
      </w:r>
      <w:r>
        <w:rPr>
          <w:rFonts w:hint="eastAsia"/>
        </w:rPr>
        <w:t xml:space="preserve"> when UTO-UCI and HARQ-ACK are jointly encoded. In this case, polar cod</w:t>
      </w:r>
      <w:r>
        <w:t>e</w:t>
      </w:r>
      <w:r>
        <w:rPr>
          <w:rFonts w:hint="eastAsia"/>
        </w:rPr>
        <w:t xml:space="preserve"> should be considered for the encoding of UCI sequence of HARQ-ACK and UTO-UCI.</w:t>
      </w:r>
    </w:p>
    <w:p>
      <w:pPr>
        <w:pStyle w:val="58"/>
        <w:spacing w:before="120" w:after="120"/>
        <w:jc w:val="both"/>
        <w:rPr>
          <w:lang w:val="en-US" w:eastAsia="zh-CN"/>
        </w:rPr>
      </w:pPr>
      <w:bookmarkStart w:id="0" w:name="_Toc22493"/>
      <w:r>
        <w:rPr>
          <w:rFonts w:hint="eastAsia"/>
          <w:lang w:val="en-US" w:eastAsia="zh-CN"/>
        </w:rPr>
        <w:t xml:space="preserve">The length of UCI sequence </w:t>
      </w:r>
      <w:r>
        <w:rPr>
          <w:lang w:val="en-US" w:eastAsia="zh-CN"/>
        </w:rPr>
        <w:t>will</w:t>
      </w:r>
      <w:r>
        <w:rPr>
          <w:rFonts w:hint="eastAsia"/>
          <w:lang w:val="en-US" w:eastAsia="zh-CN"/>
        </w:rPr>
        <w:t xml:space="preserve"> be larger than 11 bit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when UTO-UCI and HARQ-ACK are jointly encoded, </w:t>
      </w:r>
      <w:r>
        <w:rPr>
          <w:lang w:val="en-US" w:eastAsia="zh-CN"/>
        </w:rPr>
        <w:t>where</w:t>
      </w:r>
      <w:r>
        <w:rPr>
          <w:rFonts w:hint="eastAsia"/>
          <w:lang w:val="en-US" w:eastAsia="zh-CN"/>
        </w:rPr>
        <w:t xml:space="preserve"> Polar cod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 should be considered.</w:t>
      </w:r>
      <w:bookmarkEnd w:id="0"/>
      <w:r>
        <w:rPr>
          <w:rFonts w:hint="eastAsia"/>
          <w:lang w:val="en-US" w:eastAsia="zh-CN"/>
        </w:rPr>
        <w:t xml:space="preserve">  </w:t>
      </w:r>
    </w:p>
    <w:p>
      <w:pPr>
        <w:spacing w:before="120" w:after="120"/>
      </w:pPr>
      <w:r>
        <w:rPr>
          <w:rFonts w:hint="eastAsia"/>
        </w:rPr>
        <w:t xml:space="preserve">Besides, a sentence is added at the beginning of the </w:t>
      </w:r>
      <w:r>
        <w:rPr>
          <w:rFonts w:hint="eastAsia"/>
          <w:lang w:val="en-US" w:eastAsia="zh-CN"/>
        </w:rPr>
        <w:t xml:space="preserve">clause </w:t>
      </w:r>
      <w:r>
        <w:rPr>
          <w:rFonts w:hint="eastAsia"/>
        </w:rPr>
        <w:t>6.3.2.4.2 (i.e., UCI encoded by channel coding for small block length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), </w:t>
      </w:r>
      <w:r>
        <w:t>saying</w:t>
      </w:r>
      <w:r>
        <w:rPr>
          <w:rFonts w:hint="eastAsia"/>
        </w:rPr>
        <w:t xml:space="preserve"> that the description of </w:t>
      </w:r>
      <w:r>
        <w:t>“</w:t>
      </w:r>
      <w:r>
        <w:rPr>
          <w:rFonts w:hint="eastAsia"/>
        </w:rPr>
        <w:t>CG-UCI</w:t>
      </w:r>
      <w:r>
        <w:t>”</w:t>
      </w:r>
      <w:r>
        <w:rPr>
          <w:rFonts w:hint="eastAsia"/>
        </w:rPr>
        <w:t xml:space="preserve"> can be replaced by </w:t>
      </w:r>
      <w:r>
        <w:t>“</w:t>
      </w:r>
      <w:r>
        <w:rPr>
          <w:rFonts w:hint="eastAsia"/>
        </w:rPr>
        <w:t>UTO-UCI</w:t>
      </w:r>
      <w:r>
        <w:t>”</w:t>
      </w:r>
      <w:r>
        <w:rPr>
          <w:rFonts w:hint="eastAsia"/>
        </w:rPr>
        <w:t xml:space="preserve"> in [1]. In our opinion, the simple replacement is not proper for some </w:t>
      </w:r>
      <w:r>
        <w:t>subclause</w:t>
      </w:r>
      <w:r>
        <w:rPr>
          <w:rFonts w:hint="eastAsia"/>
        </w:rPr>
        <w:t xml:space="preserve">s. </w:t>
      </w:r>
    </w:p>
    <w:p>
      <w:pPr>
        <w:spacing w:before="120" w:after="120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For </w:t>
      </w:r>
      <w:r>
        <w:rPr>
          <w:rFonts w:hint="eastAsia"/>
          <w:lang w:val="en-US" w:eastAsia="zh-CN"/>
        </w:rPr>
        <w:t>example</w:t>
      </w:r>
      <w:r>
        <w:rPr>
          <w:rFonts w:hint="eastAsia"/>
        </w:rPr>
        <w:t xml:space="preserve">, </w:t>
      </w:r>
      <w:r>
        <w:rPr>
          <w:rFonts w:hint="eastAsia"/>
          <w:lang w:val="en-US" w:eastAsia="zh-CN"/>
        </w:rPr>
        <w:t>if there is no</w:t>
      </w:r>
      <w:r>
        <w:rPr>
          <w:rFonts w:hint="eastAsia"/>
        </w:rPr>
        <w:t xml:space="preserve"> description of UTO-UCI in </w:t>
      </w:r>
      <w:r>
        <w:rPr>
          <w:rFonts w:hint="eastAsia"/>
          <w:lang w:val="en-US" w:eastAsia="zh-CN"/>
        </w:rPr>
        <w:t xml:space="preserve">clause </w:t>
      </w:r>
      <w:r>
        <w:rPr>
          <w:rFonts w:hint="eastAsia"/>
        </w:rPr>
        <w:t>6.3.2.4.1 (i.e., UCI encoded by Polar coding)</w:t>
      </w:r>
      <w:r>
        <w:rPr>
          <w:rFonts w:hint="eastAsia"/>
          <w:lang w:val="en-US" w:eastAsia="zh-CN"/>
        </w:rPr>
        <w:t>, it</w:t>
      </w:r>
      <w:r>
        <w:rPr>
          <w:rFonts w:hint="eastAsia"/>
        </w:rPr>
        <w:t xml:space="preserve"> causes </w:t>
      </w:r>
      <w:r>
        <w:rPr>
          <w:rFonts w:hint="eastAsia"/>
          <w:lang w:val="en-US" w:eastAsia="zh-CN"/>
        </w:rPr>
        <w:t xml:space="preserve">confusion when clause 6.3.2.4.2 refers to clause </w:t>
      </w:r>
      <w:r>
        <w:rPr>
          <w:rFonts w:hint="eastAsia"/>
        </w:rPr>
        <w:t>6.3.2.4.</w:t>
      </w:r>
      <w:r>
        <w:rPr>
          <w:rFonts w:hint="eastAsia"/>
          <w:lang w:val="en-US" w:eastAsia="zh-CN"/>
        </w:rPr>
        <w:t>1. As shown in following block, clause 6.3.2.4.2.4, refers to clause 6.3.2.4.1.4, assuming CG-UCI is replaced by UTO-UCI herein.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76" w:type="dxa"/>
          </w:tcPr>
          <w:p>
            <w:pPr>
              <w:spacing w:before="120" w:after="120"/>
              <w:rPr>
                <w:rFonts w:hint="default" w:ascii="Arial" w:hAnsi="Arial" w:eastAsia="宋体" w:cs="Arial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24"/>
                <w:szCs w:val="24"/>
                <w:lang w:val="en-US" w:eastAsia="zh-CN"/>
              </w:rPr>
              <w:t>TS 38.212 [1]</w:t>
            </w:r>
          </w:p>
          <w:p>
            <w:pPr>
              <w:pStyle w:val="6"/>
              <w:numPr>
                <w:ilvl w:val="-1"/>
                <w:numId w:val="0"/>
              </w:numPr>
              <w:rPr>
                <w:rFonts w:hint="eastAsia" w:ascii="Arial" w:hAnsi="Arial" w:eastAsia="宋体" w:cs="Times New Roman"/>
                <w:kern w:val="2"/>
                <w:sz w:val="21"/>
                <w:highlight w:val="none"/>
                <w:u w:val="none"/>
                <w:lang w:val="en-US" w:eastAsia="zh-CN" w:bidi="ar-SA"/>
              </w:rPr>
            </w:pPr>
            <w:bookmarkStart w:id="1" w:name="_Toc36046321"/>
            <w:bookmarkStart w:id="2" w:name="_Toc45209238"/>
            <w:bookmarkStart w:id="3" w:name="_Toc29327725"/>
            <w:bookmarkStart w:id="4" w:name="_Toc36046175"/>
            <w:bookmarkStart w:id="5" w:name="_Toc19798747"/>
            <w:bookmarkStart w:id="6" w:name="_Toc146106241"/>
            <w:bookmarkStart w:id="7" w:name="_Toc36045915"/>
            <w:bookmarkStart w:id="8" w:name="_Toc26467218"/>
            <w:bookmarkStart w:id="9" w:name="_Toc29326575"/>
            <w:bookmarkStart w:id="10" w:name="_Toc51852411"/>
            <w:r>
              <w:rPr>
                <w:rFonts w:hint="eastAsia" w:ascii="Arial" w:hAnsi="Arial" w:eastAsia="宋体" w:cs="Times New Roman"/>
                <w:kern w:val="2"/>
                <w:sz w:val="21"/>
                <w:highlight w:val="none"/>
                <w:u w:val="none"/>
                <w:lang w:val="en-US" w:eastAsia="zh-CN" w:bidi="ar-SA"/>
              </w:rPr>
              <w:t>6.3.2.4.1</w:t>
            </w:r>
            <w:r>
              <w:rPr>
                <w:rFonts w:hint="eastAsia" w:ascii="Arial" w:hAnsi="Arial" w:eastAsia="宋体" w:cs="Times New Roman"/>
                <w:kern w:val="2"/>
                <w:sz w:val="21"/>
                <w:highlight w:val="none"/>
                <w:u w:val="none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kern w:val="2"/>
                <w:sz w:val="21"/>
                <w:highlight w:val="none"/>
                <w:u w:val="none"/>
                <w:lang w:val="en-US" w:eastAsia="zh-CN" w:bidi="ar-SA"/>
              </w:rPr>
              <w:t>UCI encoded by Polar code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>
            <w:pPr>
              <w:keepNext/>
              <w:keepLines/>
              <w:spacing w:before="120" w:after="120"/>
              <w:ind w:left="1985" w:hanging="1985"/>
              <w:outlineLvl w:val="5"/>
              <w:rPr>
                <w:rFonts w:ascii="Arial" w:hAnsi="Arial"/>
              </w:rPr>
            </w:pPr>
            <w:bookmarkStart w:id="11" w:name="_Toc36046179"/>
            <w:bookmarkStart w:id="12" w:name="_Toc51852415"/>
            <w:bookmarkStart w:id="13" w:name="_Toc29326579"/>
            <w:bookmarkStart w:id="14" w:name="_Toc129874494"/>
            <w:bookmarkStart w:id="15" w:name="_Toc45209242"/>
            <w:bookmarkStart w:id="16" w:name="_Toc29327729"/>
            <w:bookmarkStart w:id="17" w:name="_Toc36046325"/>
            <w:bookmarkStart w:id="18" w:name="_Toc36045919"/>
            <w:r>
              <w:rPr>
                <w:rFonts w:hint="eastAsia" w:ascii="Arial" w:hAnsi="Arial"/>
                <w:highlight w:val="red"/>
              </w:rPr>
              <w:t>6.3.2.4.1.4</w:t>
            </w:r>
            <w:r>
              <w:rPr>
                <w:rFonts w:hint="eastAsia" w:ascii="Arial" w:hAnsi="Arial"/>
                <w:highlight w:val="red"/>
              </w:rPr>
              <w:tab/>
            </w:r>
            <w:r>
              <w:rPr>
                <w:rFonts w:hint="eastAsia" w:ascii="Arial" w:hAnsi="Arial"/>
                <w:highlight w:val="red"/>
              </w:rPr>
              <w:t>CG-UCI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r>
              <w:rPr>
                <w:rFonts w:hint="eastAsia" w:ascii="Arial" w:hAnsi="Arial"/>
              </w:rPr>
              <w:t xml:space="preserve"> </w:t>
            </w:r>
          </w:p>
          <w:p>
            <w:pPr>
              <w:spacing w:before="120" w:after="120"/>
            </w:pPr>
            <w:r>
              <w:rPr>
                <w:rFonts w:hint="eastAsia"/>
              </w:rPr>
              <w:t xml:space="preserve">For </w:t>
            </w:r>
            <w:r>
              <w:t xml:space="preserve">CG-UCI </w:t>
            </w:r>
            <w:r>
              <w:rPr>
                <w:rFonts w:hint="eastAsia"/>
              </w:rPr>
              <w:t>transmission on PUSCH with UL-SCH</w:t>
            </w:r>
            <w:r>
              <w:t xml:space="preserve"> and if </w:t>
            </w:r>
            <w:r>
              <w:rPr>
                <w:i/>
              </w:rPr>
              <w:t>numberOfSlotsTBoMS</w:t>
            </w:r>
            <w:r>
              <w:t xml:space="preserve"> is not present in the resource allocation table, or if </w:t>
            </w:r>
            <w:r>
              <w:rPr>
                <w:i/>
              </w:rPr>
              <w:t>numberOfSlotsTBoMS</w:t>
            </w:r>
            <w:r>
              <w:t xml:space="preserve"> is present in the resource allocation table and the value of </w:t>
            </w:r>
            <w:r>
              <w:rPr>
                <w:i/>
              </w:rPr>
              <w:t>numberOfSlotsTBoMS</w:t>
            </w:r>
            <w:r>
              <w:t xml:space="preserve"> in the row indicated by the Time domain resource assignment field in DCI is equal to 1</w:t>
            </w:r>
            <w:r>
              <w:rPr>
                <w:rFonts w:hint="eastAsia"/>
              </w:rPr>
              <w:t>, the number of coded modulation symbols per layer</w:t>
            </w:r>
            <w:r>
              <w:t xml:space="preserve"> </w:t>
            </w:r>
            <w:r>
              <w:rPr>
                <w:rFonts w:hint="eastAsia"/>
              </w:rPr>
              <w:t>for</w:t>
            </w:r>
            <w:r>
              <w:t xml:space="preserve"> CG-UCI</w:t>
            </w:r>
            <w:r>
              <w:rPr>
                <w:rFonts w:hint="eastAsia"/>
              </w:rPr>
              <w:t xml:space="preserve"> transmission, denoted as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Q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CG−UCI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rFonts w:hint="eastAsia"/>
              </w:rPr>
              <w:t>, is determined as follows:</w:t>
            </w:r>
          </w:p>
          <w:p>
            <w:pPr>
              <w:pStyle w:val="68"/>
              <w:spacing w:before="120" w:after="120"/>
            </w:pP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Q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CG−UCI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  <m:ctrlPr>
                    <w:rPr>
                      <w:rFonts w:ascii="Cambria Math" w:hAnsi="Cambria Math"/>
                    </w:rPr>
                  </m:ctrlPr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/>
                                        <w:rPr>
                                          <w:rFonts w:ascii="Cambria Math" w:hAnsi="Cambria Math"/>
                                        </w:rPr>
                                        <m:t>O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CG−UCI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/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CG−UCI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ub>
                                  </m:sSub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</w:rPr>
                                    <m:t>β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offset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PUSCH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∙</m:t>
                              </m:r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naryPr>
                                <m:sub>
                                  <m:r>
                                    <m:rPr/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=0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  <m: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/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symb,all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PUSCH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−1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p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/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sc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UCI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up>
                                  </m:sSub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/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e>
                                  </m:d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</m:nary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num>
                            <m:den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naryPr>
                                <m:sub>
                                  <m:r>
                                    <m:rPr/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=0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/>
                                        <w:rPr>
                                          <w:rFonts w:ascii="Cambria Math" w:hAnsi="Cambria Math"/>
                                        </w:rPr>
                                        <m:t>C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/>
                                        <w:rPr>
                                          <w:rFonts w:ascii="Cambria Math" w:hAnsi="Cambria Math"/>
                                        </w:rPr>
                                        <m:t>UL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−</m:t>
                                      </m:r>
                                      <m:r>
                                        <m:rPr/>
                                        <w:rPr>
                                          <w:rFonts w:ascii="Cambria Math" w:hAnsi="Cambria Math"/>
                                        </w:rPr>
                                        <m:t>SCH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−1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/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/>
                                        <w:rPr>
                                          <w:rFonts w:ascii="Cambria Math" w:hAnsi="Cambria Math"/>
                                        </w:rPr>
                                        <m:t>r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ub>
                                  </m:sSub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</m:nary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α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∙</m:t>
                          </m:r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naryPr>
                            <m:sub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</m:sSub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  <m:sup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symb,all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PUSCH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−1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sc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UCI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p>
                              </m:sSub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</m:d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e>
                          </m:nary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</w:rPr>
                  </m:ctrlPr>
                </m:e>
              </m:func>
            </m:oMath>
          </w:p>
          <w:p>
            <w:pPr>
              <w:spacing w:before="120" w:after="120"/>
              <w:rPr>
                <w:rFonts w:hint="eastAsia"/>
              </w:rPr>
            </w:pPr>
            <w:r>
              <w:rPr>
                <w:rFonts w:hint="eastAsia"/>
              </w:rPr>
              <w:t>....</w:t>
            </w:r>
          </w:p>
          <w:p>
            <w:pPr>
              <w:spacing w:before="120" w:after="120"/>
              <w:rPr>
                <w:rFonts w:hint="eastAsia"/>
              </w:rPr>
            </w:pPr>
          </w:p>
          <w:p>
            <w:pPr>
              <w:pStyle w:val="6"/>
              <w:numPr>
                <w:ilvl w:val="-1"/>
                <w:numId w:val="0"/>
              </w:numPr>
              <w:rPr>
                <w:rFonts w:hint="eastAsia" w:ascii="Arial" w:hAnsi="Arial" w:eastAsia="宋体" w:cs="Times New Roman"/>
                <w:kern w:val="2"/>
                <w:sz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kern w:val="2"/>
                <w:sz w:val="21"/>
                <w:highlight w:val="none"/>
                <w:u w:val="none"/>
                <w:lang w:val="en-US" w:eastAsia="zh-CN" w:bidi="ar-SA"/>
              </w:rPr>
              <w:t>6.3.2.4.2</w:t>
            </w:r>
            <w:r>
              <w:rPr>
                <w:rFonts w:hint="eastAsia" w:ascii="Arial" w:hAnsi="Arial" w:eastAsia="宋体" w:cs="Times New Roman"/>
                <w:kern w:val="2"/>
                <w:sz w:val="21"/>
                <w:highlight w:val="none"/>
                <w:u w:val="none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kern w:val="2"/>
                <w:sz w:val="21"/>
                <w:highlight w:val="none"/>
                <w:u w:val="none"/>
                <w:lang w:val="en-US" w:eastAsia="zh-CN" w:bidi="ar-SA"/>
              </w:rPr>
              <w:t>UCI encoded by channel coding of small block length</w:t>
            </w:r>
          </w:p>
          <w:p>
            <w:pPr>
              <w:keepNext/>
              <w:keepLines/>
              <w:spacing w:before="120" w:after="120"/>
              <w:ind w:left="1985" w:hanging="1985"/>
              <w:outlineLvl w:val="5"/>
              <w:rPr>
                <w:rFonts w:ascii="Arial" w:hAnsi="Arial"/>
              </w:rPr>
            </w:pPr>
            <w:r>
              <w:rPr>
                <w:rFonts w:hint="eastAsia" w:ascii="Arial" w:hAnsi="Arial"/>
              </w:rPr>
              <w:t>6.3.2.4.2.</w:t>
            </w:r>
            <w:r>
              <w:rPr>
                <w:rFonts w:ascii="Arial" w:hAnsi="Arial"/>
              </w:rPr>
              <w:t>4</w:t>
            </w:r>
            <w:r>
              <w:rPr>
                <w:rFonts w:hint="eastAsia" w:ascii="Arial" w:hAnsi="Arial"/>
              </w:rPr>
              <w:tab/>
            </w:r>
            <w:r>
              <w:rPr>
                <w:rFonts w:hint="eastAsia" w:ascii="Arial" w:hAnsi="Arial"/>
              </w:rPr>
              <w:t>CG-UCI</w:t>
            </w:r>
            <w:r>
              <w:rPr>
                <w:rFonts w:ascii="Arial" w:hAnsi="Arial"/>
              </w:rPr>
              <w:t xml:space="preserve"> </w:t>
            </w:r>
          </w:p>
          <w:p>
            <w:pPr>
              <w:spacing w:before="120" w:after="120"/>
            </w:pPr>
            <w:r>
              <w:t xml:space="preserve">For </w:t>
            </w:r>
            <w:r>
              <w:rPr>
                <w:rFonts w:hint="eastAsia"/>
              </w:rPr>
              <w:t>CG-UCI</w:t>
            </w:r>
            <w:r>
              <w:t xml:space="preserve"> transmission on PUSCH, the number of coded modulation symbols per layer for </w:t>
            </w:r>
            <w:r>
              <w:rPr>
                <w:rFonts w:hint="eastAsia"/>
              </w:rPr>
              <w:t>CG-UCI</w:t>
            </w:r>
            <w:r>
              <w:t xml:space="preserve">  transmission, denoted as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Q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CG−UCI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t xml:space="preserve">, </w:t>
            </w:r>
            <w:r>
              <w:rPr>
                <w:highlight w:val="red"/>
              </w:rPr>
              <w:t>is determined according to Clause 6.3.2.4.1.4</w:t>
            </w:r>
            <w:r>
              <w:t>, by setting the number of</w:t>
            </w:r>
            <w:bookmarkStart w:id="48" w:name="_GoBack"/>
            <w:bookmarkEnd w:id="48"/>
            <w:r>
              <w:t xml:space="preserve"> CRC bits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CG−UCI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=0</m:t>
              </m:r>
            </m:oMath>
            <w:r>
              <w:t>.</w:t>
            </w:r>
          </w:p>
          <w:p>
            <w:pPr>
              <w:spacing w:before="120" w:after="120"/>
            </w:pPr>
            <w:r>
              <w:t xml:space="preserve">The input bit sequence to rate matching is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d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d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d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 xml:space="preserve">, …,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d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N−1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>.</w:t>
            </w:r>
          </w:p>
          <w:p>
            <w:pPr>
              <w:spacing w:before="120" w:after="120"/>
            </w:pPr>
            <w:r>
              <w:t xml:space="preserve">Rate matching is performed according to Clause 5.4.3, by setting the rate matching output sequence length </w:t>
            </w:r>
          </w:p>
          <w:p>
            <w:pPr>
              <w:spacing w:before="120" w:after="120"/>
            </w:pPr>
            <m:oMath>
              <m:r>
                <m:rPr/>
                <w:rPr>
                  <w:rFonts w:ascii="Cambria Math" w:hAnsi="Cambria Math"/>
                </w:rPr>
                <m:t>E=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Q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CG−UCI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</w:rPr>
                    <m:t>'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Q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>, where</w:t>
            </w:r>
          </w:p>
          <w:p>
            <w:pPr>
              <w:pStyle w:val="64"/>
              <w:spacing w:before="120" w:after="120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is the number of transmission layers of the PUSCH;</w:t>
            </w:r>
          </w:p>
          <w:p>
            <w:pPr>
              <w:pStyle w:val="64"/>
              <w:spacing w:before="120" w:after="120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Q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is the modulation order of the PUSCH.</w:t>
            </w:r>
          </w:p>
          <w:p>
            <w:pPr>
              <w:spacing w:before="120" w:after="120"/>
              <w:rPr>
                <w:rFonts w:hint="eastAsia"/>
              </w:rPr>
            </w:pPr>
            <w:r>
              <w:t xml:space="preserve">The output bit sequence after rate matching is denoted as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/>
                <w:rPr>
                  <w:rFonts w:ascii="Cambria Math" w:hAnsi="Cambria Math"/>
                </w:rPr>
                <m:t xml:space="preserve">, …,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E−1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>.</w:t>
            </w:r>
          </w:p>
        </w:tc>
      </w:tr>
    </w:tbl>
    <w:p>
      <w:pPr>
        <w:spacing w:before="120" w:after="120"/>
      </w:pPr>
      <w:r>
        <w:rPr>
          <w:rFonts w:hint="eastAsia"/>
          <w:lang w:val="en-US" w:eastAsia="zh-CN"/>
        </w:rPr>
        <w:t>Therefore,</w:t>
      </w:r>
      <w:r>
        <w:rPr>
          <w:rFonts w:hint="eastAsia"/>
        </w:rPr>
        <w:t xml:space="preserve"> there </w:t>
      </w:r>
      <w:r>
        <w:rPr>
          <w:rFonts w:hint="eastAsia"/>
          <w:lang w:val="en-US" w:eastAsia="zh-CN"/>
        </w:rPr>
        <w:t>exists</w:t>
      </w:r>
      <w:r>
        <w:rPr>
          <w:rFonts w:hint="eastAsia"/>
        </w:rPr>
        <w:t xml:space="preserve"> reference error </w:t>
      </w:r>
      <w:r>
        <w:rPr>
          <w:rFonts w:hint="eastAsia"/>
          <w:lang w:val="en-US" w:eastAsia="zh-CN"/>
        </w:rPr>
        <w:t>in clause 6.3.2.4.2.4</w:t>
      </w:r>
      <w:r>
        <w:rPr>
          <w:rFonts w:hint="eastAsia"/>
        </w:rPr>
        <w:t xml:space="preserve">, since the description for UTO-UCI is absent in Polar coding. </w:t>
      </w:r>
    </w:p>
    <w:p>
      <w:pPr>
        <w:pStyle w:val="58"/>
        <w:spacing w:before="120" w:after="120"/>
        <w:jc w:val="both"/>
        <w:rPr>
          <w:lang w:val="en-US" w:eastAsia="zh-CN"/>
        </w:rPr>
      </w:pPr>
      <w:bookmarkStart w:id="19" w:name="_Toc20679"/>
      <w:r>
        <w:rPr>
          <w:rFonts w:hint="eastAsia"/>
          <w:lang w:val="en-US" w:eastAsia="zh-CN"/>
        </w:rPr>
        <w:t>Wrong reference may occur if simply replace the CG-UCI with UTO-UCI.</w:t>
      </w:r>
      <w:bookmarkEnd w:id="19"/>
    </w:p>
    <w:p>
      <w:pPr>
        <w:spacing w:before="120" w:after="120"/>
      </w:pPr>
      <w:r>
        <w:rPr>
          <w:rFonts w:hint="eastAsia"/>
        </w:rPr>
        <w:t xml:space="preserve">In summary, our suggestions on </w:t>
      </w:r>
      <w:r>
        <w:t>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38.212 are listed as follows:</w:t>
      </w:r>
    </w:p>
    <w:p>
      <w:pPr>
        <w:numPr>
          <w:ilvl w:val="0"/>
          <w:numId w:val="5"/>
        </w:numPr>
        <w:spacing w:before="120" w:after="120"/>
      </w:pPr>
      <w:r>
        <w:t xml:space="preserve">Add texts for joint </w:t>
      </w:r>
      <w:r>
        <w:rPr>
          <w:rFonts w:hint="eastAsia"/>
        </w:rPr>
        <w:t xml:space="preserve">encoded HARQ-ACK and UTO-UCI </w:t>
      </w:r>
      <w:r>
        <w:t xml:space="preserve">by </w:t>
      </w:r>
      <w:r>
        <w:rPr>
          <w:rFonts w:hint="eastAsia"/>
        </w:rPr>
        <w:t>Polar cod</w:t>
      </w:r>
      <w:r>
        <w:t>e</w:t>
      </w:r>
      <w:r>
        <w:rPr>
          <w:rFonts w:hint="eastAsia"/>
        </w:rPr>
        <w:t>.</w:t>
      </w:r>
      <w:r>
        <w:t xml:space="preserve"> </w:t>
      </w:r>
    </w:p>
    <w:p>
      <w:pPr>
        <w:numPr>
          <w:ilvl w:val="0"/>
          <w:numId w:val="5"/>
        </w:numPr>
        <w:spacing w:before="120" w:after="120"/>
      </w:pPr>
      <w:r>
        <w:rPr>
          <w:rFonts w:hint="eastAsia"/>
        </w:rPr>
        <w:t xml:space="preserve">The replacement of CG-UCI </w:t>
      </w:r>
      <w:r>
        <w:t>by</w:t>
      </w:r>
      <w:r>
        <w:rPr>
          <w:rFonts w:hint="eastAsia"/>
        </w:rPr>
        <w:t xml:space="preserve"> UTO-UCI should be </w:t>
      </w:r>
      <w:r>
        <w:t>considered</w:t>
      </w:r>
      <w:r>
        <w:rPr>
          <w:rFonts w:hint="eastAsia"/>
        </w:rPr>
        <w:t xml:space="preserve"> case by case.</w:t>
      </w:r>
    </w:p>
    <w:p>
      <w:pPr>
        <w:numPr>
          <w:ilvl w:val="0"/>
          <w:numId w:val="6"/>
        </w:numPr>
        <w:spacing w:before="120" w:after="120"/>
      </w:pPr>
      <w:r>
        <w:rPr>
          <w:rFonts w:hint="eastAsia"/>
        </w:rPr>
        <w:t>For the case</w:t>
      </w:r>
      <w:r>
        <w:t>s</w:t>
      </w:r>
      <w:r>
        <w:rPr>
          <w:rFonts w:hint="eastAsia"/>
        </w:rPr>
        <w:t xml:space="preserve"> which </w:t>
      </w:r>
      <w:r>
        <w:t xml:space="preserve">are </w:t>
      </w:r>
      <w:r>
        <w:rPr>
          <w:rFonts w:hint="eastAsia"/>
        </w:rPr>
        <w:t>different with CG-UCI, an additional sub</w:t>
      </w:r>
      <w:r>
        <w:rPr>
          <w:rFonts w:hint="eastAsia"/>
          <w:lang w:val="en-US" w:eastAsia="zh-CN"/>
        </w:rPr>
        <w:t>clause</w:t>
      </w:r>
      <w:r>
        <w:rPr>
          <w:rFonts w:hint="eastAsia"/>
        </w:rPr>
        <w:t xml:space="preserve"> for UTO-UCI is needed.</w:t>
      </w:r>
    </w:p>
    <w:p>
      <w:pPr>
        <w:numPr>
          <w:ilvl w:val="0"/>
          <w:numId w:val="7"/>
        </w:numPr>
        <w:spacing w:before="120" w:after="120"/>
      </w:pPr>
      <w:r>
        <w:rPr>
          <w:rFonts w:hint="eastAsia"/>
        </w:rPr>
        <w:t>For the case</w:t>
      </w:r>
      <w:r>
        <w:t>s</w:t>
      </w:r>
      <w:r>
        <w:rPr>
          <w:rFonts w:hint="eastAsia"/>
        </w:rPr>
        <w:t xml:space="preserve"> which </w:t>
      </w:r>
      <w:r>
        <w:t>are</w:t>
      </w:r>
      <w:r>
        <w:rPr>
          <w:rFonts w:hint="eastAsia"/>
        </w:rPr>
        <w:t xml:space="preserve"> same with CG-UCI, the replacement can be used. And the reference should be aligned.</w:t>
      </w:r>
    </w:p>
    <w:p>
      <w:pPr>
        <w:spacing w:before="120" w:after="120"/>
      </w:pPr>
      <w:r>
        <w:rPr>
          <w:rFonts w:hint="eastAsia"/>
        </w:rPr>
        <w:t>Therefore, we have following TP</w:t>
      </w:r>
      <w:r>
        <w:rPr>
          <w:rFonts w:hint="eastAsia"/>
          <w:lang w:val="en-US" w:eastAsia="zh-CN"/>
        </w:rPr>
        <w:t>s, and detailed version is provided in Appendix</w:t>
      </w:r>
      <w:r>
        <w:rPr>
          <w:rFonts w:hint="eastAsia"/>
        </w:rPr>
        <w:t>:</w:t>
      </w:r>
    </w:p>
    <w:p>
      <w:pPr>
        <w:numPr>
          <w:ilvl w:val="0"/>
          <w:numId w:val="8"/>
        </w:numPr>
        <w:spacing w:before="120" w:after="120"/>
        <w:ind w:left="420"/>
      </w:pPr>
      <w:r>
        <w:rPr>
          <w:rFonts w:hint="eastAsia"/>
        </w:rPr>
        <w:t xml:space="preserve">For UTO-UCI and HARQ-ACK joint encoding </w:t>
      </w:r>
      <w:r>
        <w:t>by</w:t>
      </w:r>
      <w:r>
        <w:rPr>
          <w:rFonts w:hint="eastAsia"/>
        </w:rPr>
        <w:t xml:space="preserve"> Polar code (i.e., </w:t>
      </w:r>
      <w:r>
        <w:rPr>
          <w:rFonts w:hint="eastAsia"/>
          <w:lang w:val="en-US" w:eastAsia="zh-CN"/>
        </w:rPr>
        <w:t xml:space="preserve">subclause </w:t>
      </w:r>
      <w:r>
        <w:rPr>
          <w:rFonts w:hint="eastAsia"/>
        </w:rPr>
        <w:t>6.3.2.4.1.5), the procedure of joint encoding of UTO-UCI and HARQ-ACK is the same as that of CG-UCI and HARQ-ACK. As a result, the CG-UCI can be</w:t>
      </w:r>
      <w:r>
        <w:t xml:space="preserve"> directly</w:t>
      </w:r>
      <w:r>
        <w:rPr>
          <w:rFonts w:hint="eastAsia"/>
        </w:rPr>
        <w:t xml:space="preserve"> </w:t>
      </w:r>
      <w:r>
        <w:t xml:space="preserve">replaced by </w:t>
      </w:r>
      <w:r>
        <w:rPr>
          <w:rFonts w:hint="eastAsia"/>
        </w:rPr>
        <w:t>UTO-UCI</w:t>
      </w:r>
      <w:r>
        <w:t xml:space="preserve"> with the </w:t>
      </w:r>
      <w:r>
        <w:rPr>
          <w:rFonts w:hint="eastAsia"/>
          <w:b/>
          <w:bCs/>
          <w:lang w:val="en-US" w:eastAsia="zh-CN"/>
        </w:rPr>
        <w:t>TP#1</w:t>
      </w:r>
      <w:r>
        <w:rPr>
          <w:rFonts w:hint="eastAsia"/>
          <w:lang w:val="en-US" w:eastAsia="zh-CN"/>
        </w:rPr>
        <w:t xml:space="preserve"> in Appendix.</w:t>
      </w:r>
    </w:p>
    <w:p>
      <w:pPr>
        <w:numPr>
          <w:ilvl w:val="0"/>
          <w:numId w:val="8"/>
        </w:numPr>
        <w:spacing w:before="120" w:after="120"/>
        <w:ind w:left="420"/>
      </w:pPr>
      <w:r>
        <w:rPr>
          <w:rFonts w:hint="eastAsia"/>
        </w:rPr>
        <w:t>For UTO-UCI</w:t>
      </w:r>
      <w:r>
        <w:t xml:space="preserve"> only</w:t>
      </w:r>
      <w:r>
        <w:rPr>
          <w:rFonts w:hint="eastAsia"/>
        </w:rPr>
        <w:t xml:space="preserve"> in channel coding of small block lengths, the replacement would cause wrong reference because of </w:t>
      </w:r>
      <w:r>
        <w:t xml:space="preserve">the </w:t>
      </w:r>
      <w:r>
        <w:rPr>
          <w:rFonts w:hint="eastAsia"/>
        </w:rPr>
        <w:t>absent UTO-UCI in Polar coding. As a result, an additional sub</w:t>
      </w:r>
      <w:r>
        <w:rPr>
          <w:rFonts w:hint="eastAsia"/>
          <w:lang w:val="en-US" w:eastAsia="zh-CN"/>
        </w:rPr>
        <w:t>clause</w:t>
      </w:r>
      <w:r>
        <w:rPr>
          <w:rFonts w:hint="eastAsia"/>
        </w:rPr>
        <w:t xml:space="preserve"> (e.g., 6.3.2.4.2.4A) for UTO-UCI is needed.</w:t>
      </w:r>
      <w:r>
        <w:rPr>
          <w:rFonts w:hint="eastAsia"/>
          <w:lang w:val="en-US" w:eastAsia="zh-CN"/>
        </w:rPr>
        <w:t xml:space="preserve"> And the additional subclause 6.3.2.4.2.4A is shown in </w:t>
      </w:r>
      <w:r>
        <w:rPr>
          <w:rFonts w:hint="eastAsia"/>
          <w:b/>
          <w:bCs/>
          <w:lang w:val="en-US" w:eastAsia="zh-CN"/>
        </w:rPr>
        <w:t>TP#2</w:t>
      </w:r>
      <w:r>
        <w:rPr>
          <w:rFonts w:hint="eastAsia"/>
          <w:lang w:val="en-US" w:eastAsia="zh-CN"/>
        </w:rPr>
        <w:t xml:space="preserve"> in Appendix.</w:t>
      </w:r>
    </w:p>
    <w:p>
      <w:pPr>
        <w:numPr>
          <w:ilvl w:val="0"/>
          <w:numId w:val="8"/>
        </w:numPr>
        <w:spacing w:before="120" w:after="120"/>
        <w:ind w:left="420"/>
      </w:pPr>
      <w:r>
        <w:rPr>
          <w:rFonts w:hint="eastAsia"/>
          <w:lang w:val="en-US" w:eastAsia="zh-CN"/>
        </w:rPr>
        <w:t>As discussed in</w:t>
      </w:r>
      <w:r>
        <w:rPr>
          <w:rFonts w:hint="eastAsia"/>
        </w:rPr>
        <w:t xml:space="preserve"> Rel-18 XR WI, the encoding and multiplexing procedure of UTO-UCI reuses those of CG-UCI [4]. However, there would be some difference between the encoding and multiplexing procedure of UTO-UCI and that of CG-UCI in UCI encoded by Polar code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For instance, if t</w:t>
      </w:r>
      <w:r>
        <w:rPr>
          <w:rFonts w:hint="eastAsia"/>
        </w:rPr>
        <w:t xml:space="preserve">here is </w:t>
      </w:r>
      <w:r>
        <w:rPr>
          <w:rFonts w:hint="eastAsia"/>
          <w:lang w:val="en-US" w:eastAsia="zh-CN"/>
        </w:rPr>
        <w:t xml:space="preserve">not joint encoding of </w:t>
      </w:r>
      <w:r>
        <w:rPr>
          <w:rFonts w:hint="eastAsia"/>
        </w:rPr>
        <w:t xml:space="preserve">UTO-UCI </w:t>
      </w:r>
      <w:r>
        <w:rPr>
          <w:rFonts w:hint="eastAsia"/>
          <w:lang w:val="en-US" w:eastAsia="zh-CN"/>
        </w:rPr>
        <w:t>and HARQ-ACK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on </w:t>
      </w:r>
      <w:r>
        <w:rPr>
          <w:rFonts w:hint="eastAsia"/>
        </w:rPr>
        <w:t>CG PUSCH</w:t>
      </w:r>
      <w:r>
        <w:rPr>
          <w:rFonts w:hint="eastAsia"/>
          <w:lang w:val="en-US" w:eastAsia="zh-CN"/>
        </w:rPr>
        <w:t>, the UTO-UCI</w:t>
      </w:r>
      <w:r>
        <w:rPr>
          <w:rFonts w:hint="eastAsia"/>
        </w:rPr>
        <w:t xml:space="preserve"> would not </w:t>
      </w:r>
      <w:r>
        <w:rPr>
          <w:rFonts w:hint="eastAsia"/>
          <w:lang w:val="en-US" w:eastAsia="zh-CN"/>
        </w:rPr>
        <w:t>be</w:t>
      </w:r>
      <w:r>
        <w:rPr>
          <w:rFonts w:hint="eastAsia"/>
        </w:rPr>
        <w:t xml:space="preserve"> encoded by Polar coding. To this end, we suggest to add additional paragraphs </w:t>
      </w:r>
      <w:r>
        <w:t xml:space="preserve">for </w:t>
      </w:r>
      <w:r>
        <w:rPr>
          <w:rFonts w:hint="eastAsia"/>
        </w:rPr>
        <w:t>the encoding and multiplexing procedure of UTO-UCI</w:t>
      </w:r>
      <w:r>
        <w:rPr>
          <w:rFonts w:hint="eastAsia"/>
          <w:lang w:val="en-US" w:eastAsia="zh-CN"/>
        </w:rPr>
        <w:t xml:space="preserve"> as shown in </w:t>
      </w:r>
      <w:r>
        <w:rPr>
          <w:rFonts w:hint="eastAsia"/>
          <w:b/>
          <w:bCs/>
          <w:lang w:val="en-US" w:eastAsia="zh-CN"/>
        </w:rPr>
        <w:t>TP#3</w:t>
      </w:r>
      <w:r>
        <w:rPr>
          <w:rFonts w:hint="eastAsia"/>
          <w:lang w:val="en-US" w:eastAsia="zh-CN"/>
        </w:rPr>
        <w:t xml:space="preserve"> in Appendix</w:t>
      </w:r>
      <w:r>
        <w:rPr>
          <w:rFonts w:hint="eastAsia"/>
        </w:rPr>
        <w:t xml:space="preserve">. </w:t>
      </w:r>
    </w:p>
    <w:p>
      <w:pPr>
        <w:numPr>
          <w:ilvl w:val="0"/>
          <w:numId w:val="8"/>
        </w:numPr>
        <w:spacing w:before="120" w:after="120"/>
        <w:ind w:left="420"/>
      </w:pPr>
      <w:r>
        <w:rPr>
          <w:rFonts w:hint="eastAsia"/>
        </w:rPr>
        <w:t xml:space="preserve">For the UCI encoded by channel coding of small block lengths, the encoding and multiplexing procedure is the same as that of CG-UCI. As a result, the </w:t>
      </w:r>
      <w:r>
        <w:t xml:space="preserve">procedure </w:t>
      </w:r>
      <w:r>
        <w:rPr>
          <w:rFonts w:hint="eastAsia"/>
        </w:rPr>
        <w:t xml:space="preserve">can be </w:t>
      </w:r>
      <w:r>
        <w:t>re</w:t>
      </w:r>
      <w:r>
        <w:rPr>
          <w:rFonts w:hint="eastAsia"/>
        </w:rPr>
        <w:t>used</w:t>
      </w:r>
      <w:r>
        <w:t xml:space="preserve"> by </w:t>
      </w:r>
      <w:r>
        <w:rPr>
          <w:rFonts w:hint="eastAsia"/>
        </w:rPr>
        <w:t>repla</w:t>
      </w:r>
      <w:r>
        <w:t>cing CG-UCI with UTO-UCI</w:t>
      </w:r>
      <w:r>
        <w:rPr>
          <w:rFonts w:hint="eastAsia"/>
          <w:lang w:val="en-US" w:eastAsia="zh-CN"/>
        </w:rPr>
        <w:t xml:space="preserve"> as shown in </w:t>
      </w:r>
      <w:r>
        <w:rPr>
          <w:rFonts w:hint="eastAsia"/>
          <w:b/>
          <w:bCs/>
          <w:lang w:val="en-US" w:eastAsia="zh-CN"/>
        </w:rPr>
        <w:t>TP#4</w:t>
      </w:r>
      <w:r>
        <w:rPr>
          <w:rFonts w:hint="eastAsia"/>
          <w:lang w:val="en-US" w:eastAsia="zh-CN"/>
        </w:rPr>
        <w:t xml:space="preserve"> in Appendix</w:t>
      </w:r>
      <w:r>
        <w:rPr>
          <w:rFonts w:hint="eastAsia"/>
        </w:rPr>
        <w:t>.</w:t>
      </w:r>
    </w:p>
    <w:p>
      <w:pPr>
        <w:spacing w:before="120" w:after="120"/>
      </w:pPr>
      <w:r>
        <w:rPr>
          <w:rFonts w:hint="eastAsia"/>
          <w:lang w:val="en-US" w:eastAsia="zh-CN"/>
        </w:rPr>
        <w:t xml:space="preserve">In addition, </w:t>
      </w:r>
      <w:r>
        <w:rPr>
          <w:rFonts w:hint="eastAsia"/>
        </w:rPr>
        <w:t xml:space="preserve">In RAN1#113 meeting, it </w:t>
      </w:r>
      <w:r>
        <w:rPr>
          <w:rFonts w:hint="eastAsia"/>
          <w:lang w:val="en-US" w:eastAsia="zh-CN"/>
        </w:rPr>
        <w:t>wa</w:t>
      </w:r>
      <w:r>
        <w:rPr>
          <w:rFonts w:hint="eastAsia"/>
        </w:rPr>
        <w:t xml:space="preserve">s agreed that the priority index of UTO-UCI </w:t>
      </w:r>
      <w:r>
        <w:rPr>
          <w:rFonts w:hint="eastAsia"/>
          <w:lang w:val="en-US" w:eastAsia="zh-CN"/>
        </w:rPr>
        <w:t>wa</w:t>
      </w:r>
      <w:r>
        <w:rPr>
          <w:rFonts w:hint="eastAsia"/>
        </w:rPr>
        <w:t xml:space="preserve">s the same as that of CG PUSCH [4]. However, in </w:t>
      </w:r>
      <w:r>
        <w:rPr>
          <w:rFonts w:hint="eastAsia"/>
          <w:lang w:val="en-US" w:eastAsia="zh-CN"/>
        </w:rPr>
        <w:t xml:space="preserve">clause </w:t>
      </w:r>
      <w:r>
        <w:rPr>
          <w:rFonts w:hint="eastAsia"/>
        </w:rPr>
        <w:t xml:space="preserve">6.3.2.7, the replacement would cause </w:t>
      </w:r>
      <w:r>
        <w:rPr>
          <w:rFonts w:hint="eastAsia"/>
          <w:lang w:val="en-US" w:eastAsia="zh-CN"/>
        </w:rPr>
        <w:t xml:space="preserve">confusion of combination of </w:t>
      </w:r>
      <w:r>
        <w:rPr>
          <w:rFonts w:hint="eastAsia"/>
        </w:rPr>
        <w:t xml:space="preserve">different priorities between UTO-UCI and CG PUSCH. Therefore, we think an additional paragraph should be added in </w:t>
      </w:r>
      <w:r>
        <w:rPr>
          <w:rFonts w:hint="eastAsia"/>
          <w:lang w:val="en-US" w:eastAsia="zh-CN"/>
        </w:rPr>
        <w:t xml:space="preserve">clause </w:t>
      </w:r>
      <w:r>
        <w:rPr>
          <w:rFonts w:hint="eastAsia"/>
        </w:rPr>
        <w:t>6.3.2.7 for the multiplexing of the UTO-UCI and other UCI with different priorities</w:t>
      </w:r>
      <w:r>
        <w:rPr>
          <w:rFonts w:hint="eastAsia"/>
          <w:lang w:val="en-US" w:eastAsia="zh-CN"/>
        </w:rPr>
        <w:t xml:space="preserve"> as shown in </w:t>
      </w:r>
      <w:r>
        <w:rPr>
          <w:rFonts w:hint="eastAsia"/>
          <w:b/>
          <w:bCs/>
          <w:lang w:val="en-US" w:eastAsia="zh-CN"/>
        </w:rPr>
        <w:t>TP#5</w:t>
      </w:r>
      <w:r>
        <w:rPr>
          <w:rFonts w:hint="eastAsia"/>
          <w:lang w:val="en-US" w:eastAsia="zh-CN"/>
        </w:rPr>
        <w:t xml:space="preserve"> in Appendix</w:t>
      </w:r>
      <w:r>
        <w:rPr>
          <w:rFonts w:hint="eastAsia"/>
        </w:rPr>
        <w:t>.</w:t>
      </w:r>
    </w:p>
    <w:p>
      <w:pPr>
        <w:pStyle w:val="61"/>
        <w:spacing w:before="120" w:after="120"/>
        <w:jc w:val="both"/>
        <w:rPr>
          <w:lang w:val="en-US" w:eastAsia="zh-CN"/>
        </w:rPr>
      </w:pPr>
      <w:bookmarkStart w:id="20" w:name="_Toc25062"/>
      <w:r>
        <w:rPr>
          <w:rFonts w:hint="eastAsia"/>
          <w:lang w:val="en-US" w:eastAsia="zh-CN"/>
        </w:rPr>
        <w:t xml:space="preserve">Consider TP#1 to TP#5 for UTO-UCI in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38.212.</w:t>
      </w:r>
      <w:bookmarkEnd w:id="20"/>
      <w:r>
        <w:rPr>
          <w:rFonts w:hint="eastAsia"/>
          <w:lang w:val="en-US" w:eastAsia="zh-CN"/>
        </w:rPr>
        <w:t xml:space="preserve">   </w:t>
      </w:r>
    </w:p>
    <w:p>
      <w:pPr>
        <w:pStyle w:val="3"/>
        <w:spacing w:before="120" w:after="120"/>
        <w:ind w:left="991" w:right="210" w:hanging="991" w:hangingChars="354"/>
        <w:rPr>
          <w:rFonts w:eastAsia="宋体"/>
        </w:rPr>
      </w:pPr>
      <w:r>
        <w:rPr>
          <w:rFonts w:eastAsia="宋体"/>
        </w:rPr>
        <w:t>TP for TS</w:t>
      </w:r>
      <w:r>
        <w:rPr>
          <w:rFonts w:hint="eastAsia" w:eastAsia="宋体"/>
        </w:rPr>
        <w:t>38.213</w:t>
      </w:r>
    </w:p>
    <w:p>
      <w:pPr>
        <w:spacing w:before="120" w:after="120"/>
      </w:pPr>
      <w:r>
        <w:rPr>
          <w:rFonts w:hint="eastAsia"/>
        </w:rPr>
        <w:t xml:space="preserve">In RAN1#114 meeting, there </w:t>
      </w:r>
      <w:r>
        <w:rPr>
          <w:rFonts w:hint="eastAsia"/>
          <w:lang w:val="en-US" w:eastAsia="zh-CN"/>
        </w:rPr>
        <w:t>wa</w:t>
      </w:r>
      <w:r>
        <w:rPr>
          <w:rFonts w:hint="eastAsia"/>
        </w:rPr>
        <w:t>s a conclusion about UTO-UCI and HARQ-ACK joint encoding [5]</w:t>
      </w:r>
      <w:r>
        <w:t>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spacing w:before="120" w:after="120"/>
              <w:rPr>
                <w:rFonts w:cs="Times"/>
                <w:b/>
                <w:bCs/>
              </w:rPr>
            </w:pPr>
            <w:r>
              <w:rPr>
                <w:rFonts w:cs="Times"/>
                <w:b/>
                <w:bCs/>
              </w:rPr>
              <w:t>Conclusion</w:t>
            </w:r>
          </w:p>
          <w:p>
            <w:pPr>
              <w:spacing w:before="120" w:after="120"/>
              <w:rPr>
                <w:rFonts w:cs="Times"/>
              </w:rPr>
            </w:pPr>
            <w:r>
              <w:rPr>
                <w:rFonts w:cs="Times"/>
              </w:rPr>
              <w:t>There is no consensus on the following proposal:</w:t>
            </w:r>
          </w:p>
          <w:p>
            <w:pPr>
              <w:pStyle w:val="69"/>
              <w:spacing w:before="120" w:after="120" w:line="240" w:lineRule="auto"/>
              <w:ind w:left="0"/>
            </w:pPr>
            <w:r>
              <w:rPr>
                <w:rFonts w:ascii="Times" w:hAnsi="Times" w:cs="Times"/>
                <w:sz w:val="20"/>
                <w:szCs w:val="20"/>
                <w:lang w:eastAsia="ko-KR"/>
              </w:rPr>
              <w:t xml:space="preserve">Introduce a new RRC parameter </w:t>
            </w:r>
            <w:r>
              <w:rPr>
                <w:rFonts w:ascii="Times" w:hAnsi="Times" w:cs="Times"/>
                <w:sz w:val="20"/>
                <w:szCs w:val="20"/>
                <w:lang w:eastAsia="ja-JP"/>
              </w:rPr>
              <w:t>UTO-UCI-Multiplexing (similar to cg-UCI-Multiplexing) to enable/disable joint coding of HARQ-ACK and UTO-UCI in a CG PUSCH with the UTO-UCI.</w:t>
            </w:r>
          </w:p>
        </w:tc>
      </w:tr>
    </w:tbl>
    <w:p>
      <w:pPr>
        <w:spacing w:before="120" w:after="120"/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There may be a case that the PUSCH carrying UTO-UCI overlaps the PUCCH carrying HARQ-ACK in time domain. But </w:t>
      </w:r>
      <w:r>
        <w:t>in TS</w:t>
      </w:r>
      <w:r>
        <w:rPr>
          <w:rFonts w:hint="eastAsia"/>
        </w:rPr>
        <w:t>38.213</w:t>
      </w:r>
      <w:r>
        <w:rPr>
          <w:rFonts w:hint="eastAsia"/>
          <w:lang w:val="en-US"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rPr>
          <w:rFonts w:hint="eastAsia"/>
        </w:rPr>
        <w:t>, UE</w:t>
      </w:r>
      <w:r>
        <w:t>’s</w:t>
      </w:r>
      <w:r>
        <w:rPr>
          <w:rFonts w:hint="eastAsia"/>
        </w:rPr>
        <w:t xml:space="preserve"> behav</w:t>
      </w:r>
      <w:r>
        <w:t>ior</w:t>
      </w:r>
      <w:r>
        <w:rPr>
          <w:rFonts w:hint="eastAsia"/>
        </w:rPr>
        <w:t xml:space="preserve"> </w:t>
      </w:r>
      <w:r>
        <w:t>is unclear in</w:t>
      </w:r>
      <w:r>
        <w:rPr>
          <w:rFonts w:hint="eastAsia"/>
        </w:rPr>
        <w:t xml:space="preserve"> this case since there is</w:t>
      </w:r>
      <w:r>
        <w:rPr>
          <w:rFonts w:hint="eastAsia"/>
          <w:lang w:val="en-US" w:eastAsia="zh-CN"/>
        </w:rPr>
        <w:t xml:space="preserve"> a lack of a description for whether HARQ-ACK and UTO-UCI are jointly encoded or not when they are multiplexed in the same CG PUSCH.</w:t>
      </w:r>
      <w:r>
        <w:rPr>
          <w:rFonts w:hint="eastAsia"/>
        </w:rPr>
        <w:t xml:space="preserve"> In our opinion, there may be two potential </w:t>
      </w:r>
      <w:r>
        <w:t>interpretations</w:t>
      </w:r>
      <w:r>
        <w:rPr>
          <w:rFonts w:hint="eastAsia"/>
        </w:rPr>
        <w:t xml:space="preserve"> based on conclusion and agreement in [4], [5]</w:t>
      </w:r>
      <w:r>
        <w:rPr>
          <w:rFonts w:hint="eastAsia"/>
          <w:lang w:val="en-US" w:eastAsia="zh-CN"/>
        </w:rPr>
        <w:t>:</w:t>
      </w:r>
    </w:p>
    <w:p>
      <w:pPr>
        <w:numPr>
          <w:ilvl w:val="0"/>
          <w:numId w:val="9"/>
        </w:numPr>
        <w:spacing w:before="120" w:after="120"/>
        <w:ind w:left="840" w:leftChars="0"/>
      </w:pPr>
      <w:r>
        <w:rPr>
          <w:rFonts w:hint="eastAsia"/>
        </w:rPr>
        <w:t>I</w:t>
      </w:r>
      <w:r>
        <w:t>nterpretation 1</w:t>
      </w:r>
      <w:r>
        <w:rPr>
          <w:rFonts w:hint="eastAsia"/>
        </w:rPr>
        <w:t>: HARQ-ACK and UTO-UCI are always encoded separately.</w:t>
      </w:r>
    </w:p>
    <w:p>
      <w:pPr>
        <w:numPr>
          <w:ilvl w:val="0"/>
          <w:numId w:val="9"/>
        </w:numPr>
        <w:spacing w:before="120" w:after="120"/>
        <w:ind w:left="840" w:leftChars="0"/>
      </w:pPr>
      <w:r>
        <w:rPr>
          <w:rFonts w:hint="eastAsia"/>
        </w:rPr>
        <w:t>I</w:t>
      </w:r>
      <w:r>
        <w:t>nterpretation 2</w:t>
      </w:r>
      <w:r>
        <w:rPr>
          <w:rFonts w:hint="eastAsia"/>
        </w:rPr>
        <w:t>: HARQ-ACK and UTO-UCI are always jointly encoded.</w:t>
      </w:r>
    </w:p>
    <w:p>
      <w:pPr>
        <w:spacing w:before="120" w:after="120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At the current </w:t>
      </w:r>
      <w:r>
        <w:t>stage</w:t>
      </w:r>
      <w:r>
        <w:rPr>
          <w:rFonts w:hint="eastAsia"/>
        </w:rPr>
        <w:t xml:space="preserve">, we think the first </w:t>
      </w:r>
      <w:r>
        <w:t xml:space="preserve">interpretation </w:t>
      </w:r>
      <w:r>
        <w:rPr>
          <w:rFonts w:hint="eastAsia"/>
        </w:rPr>
        <w:t xml:space="preserve">would cause </w:t>
      </w:r>
      <w:r>
        <w:t>significant spec impacts</w:t>
      </w:r>
      <w:r>
        <w:rPr>
          <w:rFonts w:hint="eastAsia"/>
        </w:rPr>
        <w:t xml:space="preserve"> on 38.212 [1] and TS 38.213 [2], compared to the second </w:t>
      </w:r>
      <w:r>
        <w:t>interpretation</w:t>
      </w:r>
      <w:r>
        <w:rPr>
          <w:rFonts w:hint="eastAsia"/>
        </w:rPr>
        <w:t xml:space="preserve">. As a result, we think the second </w:t>
      </w:r>
      <w:r>
        <w:t xml:space="preserve">interpretation </w:t>
      </w:r>
      <w:r>
        <w:rPr>
          <w:rFonts w:hint="eastAsia"/>
        </w:rPr>
        <w:t xml:space="preserve">should be considered and </w:t>
      </w:r>
      <w:r>
        <w:t>captured</w:t>
      </w:r>
      <w:r>
        <w:rPr>
          <w:rFonts w:hint="eastAsia"/>
        </w:rPr>
        <w:t xml:space="preserve"> in 38.213</w:t>
      </w:r>
      <w:r>
        <w:rPr>
          <w:rFonts w:hint="eastAsia"/>
          <w:lang w:val="en-US" w:eastAsia="zh-CN"/>
        </w:rPr>
        <w:t xml:space="preserve"> as shown in </w:t>
      </w:r>
      <w:r>
        <w:rPr>
          <w:rFonts w:hint="eastAsia"/>
          <w:b/>
          <w:bCs/>
          <w:lang w:val="en-US" w:eastAsia="zh-CN"/>
        </w:rPr>
        <w:t>TP#6</w:t>
      </w:r>
      <w:r>
        <w:rPr>
          <w:rFonts w:hint="eastAsia"/>
          <w:lang w:val="en-US" w:eastAsia="zh-CN"/>
        </w:rPr>
        <w:t xml:space="preserve"> in Appendix.</w:t>
      </w:r>
    </w:p>
    <w:p>
      <w:pPr>
        <w:pStyle w:val="61"/>
        <w:spacing w:before="120" w:after="120"/>
        <w:jc w:val="both"/>
      </w:pPr>
      <w:bookmarkStart w:id="21" w:name="_Toc4834"/>
      <w:r>
        <w:rPr>
          <w:rFonts w:hint="eastAsia"/>
          <w:lang w:val="en-US" w:eastAsia="zh-CN"/>
        </w:rPr>
        <w:t xml:space="preserve">Consider TP#6 for UTO-UCI and HARQ-ACK jointly encoding in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38.213.</w:t>
      </w:r>
      <w:bookmarkEnd w:id="21"/>
      <w:r>
        <w:rPr>
          <w:rFonts w:hint="eastAsia"/>
          <w:lang w:val="en-US" w:eastAsia="zh-CN"/>
        </w:rPr>
        <w:t xml:space="preserve">   </w:t>
      </w:r>
    </w:p>
    <w:p>
      <w:pPr>
        <w:pStyle w:val="2"/>
        <w:spacing w:before="120" w:after="120"/>
        <w:ind w:left="0"/>
      </w:pPr>
      <w:r>
        <w:rPr>
          <w:rFonts w:hint="eastAsia" w:eastAsia="宋体"/>
        </w:rPr>
        <w:t xml:space="preserve">Remaining issues on XR </w:t>
      </w:r>
      <w:r>
        <w:rPr>
          <w:rFonts w:eastAsia="宋体"/>
        </w:rPr>
        <w:t>power saving</w:t>
      </w:r>
      <w:r>
        <w:rPr>
          <w:rFonts w:hint="eastAsia" w:eastAsia="宋体"/>
        </w:rPr>
        <w:t xml:space="preserve"> </w:t>
      </w:r>
      <w:r>
        <w:rPr>
          <w:rFonts w:hint="eastAsia" w:eastAsia="宋体"/>
          <w:lang w:val="en-US" w:eastAsia="zh-CN"/>
        </w:rPr>
        <w:t>enhancement</w:t>
      </w:r>
      <w:r>
        <w:rPr>
          <w:rFonts w:eastAsia="宋体"/>
        </w:rPr>
        <w:t xml:space="preserve"> </w:t>
      </w:r>
    </w:p>
    <w:p>
      <w:pPr>
        <w:pStyle w:val="3"/>
        <w:spacing w:before="120" w:after="120"/>
        <w:ind w:left="991" w:right="210" w:hanging="991" w:hangingChars="354"/>
      </w:pPr>
      <w:bookmarkStart w:id="22" w:name="_Toc29400"/>
      <w:bookmarkEnd w:id="22"/>
      <w:bookmarkStart w:id="23" w:name="_Toc82"/>
      <w:bookmarkEnd w:id="23"/>
      <w:bookmarkStart w:id="24" w:name="_Toc525"/>
      <w:bookmarkEnd w:id="24"/>
      <w:bookmarkStart w:id="25" w:name="_Toc29089"/>
      <w:bookmarkEnd w:id="25"/>
      <w:r>
        <w:rPr>
          <w:rFonts w:hint="eastAsia"/>
        </w:rPr>
        <w:t>Resumption of PDCCH monitoring after NACK</w:t>
      </w:r>
    </w:p>
    <w:p>
      <w:pPr>
        <w:spacing w:before="120" w:after="120"/>
      </w:pPr>
      <w:r>
        <w:rPr>
          <w:rFonts w:hint="eastAsia"/>
        </w:rPr>
        <w:t xml:space="preserve">In </w:t>
      </w:r>
      <w:r>
        <w:rPr>
          <w:rFonts w:hint="eastAsia"/>
          <w:lang w:val="en-US" w:eastAsia="zh-CN"/>
        </w:rPr>
        <w:t xml:space="preserve">RAN#101 meeting </w:t>
      </w:r>
      <w:r>
        <w:rPr>
          <w:rFonts w:hint="eastAsia"/>
        </w:rPr>
        <w:t xml:space="preserve">, the </w:t>
      </w:r>
      <w:r>
        <w:rPr>
          <w:rFonts w:hint="eastAsia"/>
          <w:lang w:val="en-US" w:eastAsia="zh-CN"/>
        </w:rPr>
        <w:t>TP</w:t>
      </w:r>
      <w:r>
        <w:rPr>
          <w:rFonts w:hint="eastAsia"/>
        </w:rPr>
        <w:t xml:space="preserve"> for PDCCH monitoring skipping has been endorsed</w:t>
      </w:r>
      <w:r>
        <w:rPr>
          <w:rFonts w:hint="eastAsia"/>
          <w:lang w:val="en-US" w:eastAsia="zh-CN"/>
        </w:rPr>
        <w:t xml:space="preserve"> [3]</w:t>
      </w:r>
      <w:r>
        <w:rPr>
          <w:rFonts w:hint="eastAsia"/>
        </w:rPr>
        <w:t xml:space="preserve">. 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76" w:type="dxa"/>
          </w:tcPr>
          <w:p>
            <w:pPr>
              <w:spacing w:before="120" w:after="120"/>
              <w:rPr>
                <w:rFonts w:hint="eastAsia" w:eastAsia="宋体"/>
                <w:color w:val="FF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sz w:val="24"/>
                <w:szCs w:val="24"/>
              </w:rPr>
              <w:t>10.4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Search space set group switching and skipping of PDCCH monitorin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g</w:t>
            </w:r>
          </w:p>
          <w:p>
            <w:pPr>
              <w:spacing w:before="120" w:after="120"/>
            </w:pPr>
            <w:r>
              <w:rPr>
                <w:color w:val="0000FF"/>
                <w:u w:val="single"/>
              </w:rPr>
              <w:t>When the UE is configured with [</w:t>
            </w:r>
            <w:r>
              <w:rPr>
                <w:i/>
                <w:iCs/>
                <w:color w:val="0000FF"/>
                <w:u w:val="single"/>
              </w:rPr>
              <w:t>PdcchMornitoringResumptionAfterNack</w:t>
            </w:r>
            <w:r>
              <w:rPr>
                <w:color w:val="0000FF"/>
                <w:u w:val="single"/>
              </w:rPr>
              <w:t>], after the UE detects a DCI format providing the PDCCH monitoring adaptation field indicating to the UE to skip PDCCH monitoring for the duration on the active DL BWP of a serving cell, if the UE transmits a PUCCH or a PUSCH providing a NACK value due to incorrectly decoding a PDSCH scheduled by a DCI format received from the serving cell, the UE terminates PDCCH skipping, starting from the beginning of a first slot that is after a last symbol of the PUCCH or PUSCH transmission in the serving cell.</w:t>
            </w:r>
            <w:r>
              <w:rPr>
                <w:color w:val="0000FF"/>
              </w:rPr>
              <w:t xml:space="preserve"> </w:t>
            </w:r>
          </w:p>
        </w:tc>
      </w:tr>
    </w:tbl>
    <w:p>
      <w:pPr>
        <w:spacing w:before="120" w:after="120"/>
      </w:pPr>
      <w:r>
        <w:rPr>
          <w:rFonts w:hint="eastAsia"/>
        </w:rPr>
        <w:t xml:space="preserve">According to the </w:t>
      </w:r>
      <w:r>
        <w:rPr>
          <w:rFonts w:hint="eastAsia"/>
          <w:lang w:val="en-US" w:eastAsia="zh-CN"/>
        </w:rPr>
        <w:t>TP</w:t>
      </w:r>
      <w:r>
        <w:rPr>
          <w:rFonts w:hint="eastAsia"/>
        </w:rPr>
        <w:t xml:space="preserve">, a new RRC parameter </w:t>
      </w:r>
      <w:r>
        <w:rPr>
          <w:rFonts w:hint="eastAsia"/>
          <w:i/>
          <w:iCs/>
        </w:rPr>
        <w:t>PdcchMornitoringResumptionAfterNack</w:t>
      </w:r>
      <w:r>
        <w:rPr>
          <w:rFonts w:hint="eastAsia"/>
        </w:rPr>
        <w:t xml:space="preserve"> should be i</w:t>
      </w:r>
      <w:r>
        <w:t xml:space="preserve">ntroduced </w:t>
      </w:r>
      <w:r>
        <w:rPr>
          <w:rFonts w:hint="eastAsia"/>
        </w:rPr>
        <w:t xml:space="preserve">for </w:t>
      </w:r>
      <w:r>
        <w:t xml:space="preserve">the </w:t>
      </w:r>
      <w:r>
        <w:rPr>
          <w:rFonts w:hint="eastAsia"/>
        </w:rPr>
        <w:t>resumption of PDCCH monitoring after NACK. As a result, the RRC parameter</w:t>
      </w:r>
      <w:r>
        <w:t>s</w:t>
      </w:r>
      <w:r>
        <w:rPr>
          <w:rFonts w:hint="eastAsia"/>
        </w:rPr>
        <w:t xml:space="preserve"> for XR</w:t>
      </w:r>
      <w:r>
        <w:t xml:space="preserve"> are</w:t>
      </w:r>
      <w:r>
        <w:rPr>
          <w:rFonts w:hint="eastAsia"/>
        </w:rPr>
        <w:t xml:space="preserve"> listed in </w:t>
      </w:r>
      <w:r>
        <w:t xml:space="preserve">the </w:t>
      </w:r>
      <w:r>
        <w:rPr>
          <w:rFonts w:hint="eastAsia"/>
        </w:rPr>
        <w:t>following table.</w:t>
      </w:r>
    </w:p>
    <w:p>
      <w:pPr>
        <w:spacing w:before="120" w:after="120"/>
        <w:jc w:val="center"/>
      </w:pPr>
      <w:r>
        <w:rPr>
          <w:rFonts w:hint="eastAsia"/>
        </w:rPr>
        <w:t>Table 1: New RRC parameters for XR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8"/>
        <w:gridCol w:w="2237"/>
        <w:gridCol w:w="3623"/>
        <w:gridCol w:w="2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30" w:type="dxa"/>
          </w:tcPr>
          <w:p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WI code</w:t>
            </w:r>
          </w:p>
        </w:tc>
        <w:tc>
          <w:tcPr>
            <w:tcW w:w="2641" w:type="dxa"/>
          </w:tcPr>
          <w:p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Sub-feature group</w:t>
            </w:r>
          </w:p>
        </w:tc>
        <w:tc>
          <w:tcPr>
            <w:tcW w:w="2641" w:type="dxa"/>
          </w:tcPr>
          <w:p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Parameter name in spec</w:t>
            </w:r>
          </w:p>
        </w:tc>
        <w:tc>
          <w:tcPr>
            <w:tcW w:w="2643" w:type="dxa"/>
          </w:tcPr>
          <w:p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New or existing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0" w:type="dxa"/>
          </w:tcPr>
          <w:p>
            <w:pPr>
              <w:spacing w:before="120" w:after="120"/>
            </w:pPr>
            <w:r>
              <w:rPr>
                <w:rFonts w:hint="eastAsia"/>
              </w:rPr>
              <w:t>NR_XR_enh-Core</w:t>
            </w:r>
          </w:p>
        </w:tc>
        <w:tc>
          <w:tcPr>
            <w:tcW w:w="2641" w:type="dxa"/>
          </w:tcPr>
          <w:p>
            <w:pPr>
              <w:spacing w:before="120" w:after="120"/>
            </w:pPr>
            <w:r>
              <w:rPr>
                <w:rFonts w:hint="eastAsia"/>
              </w:rPr>
              <w:t xml:space="preserve">Multiple CG PUSCH transmission occasions in a CG period </w:t>
            </w:r>
          </w:p>
        </w:tc>
        <w:tc>
          <w:tcPr>
            <w:tcW w:w="2641" w:type="dxa"/>
          </w:tcPr>
          <w:p>
            <w:pPr>
              <w:spacing w:before="120" w:after="120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nrofSlots_InCGperiod</w:t>
            </w:r>
          </w:p>
          <w:p>
            <w:pPr>
              <w:spacing w:before="120" w:after="120"/>
            </w:pPr>
          </w:p>
        </w:tc>
        <w:tc>
          <w:tcPr>
            <w:tcW w:w="2643" w:type="dxa"/>
          </w:tcPr>
          <w:p>
            <w:pPr>
              <w:spacing w:before="120" w:after="120"/>
            </w:pPr>
            <w:r>
              <w:rPr>
                <w:rFonts w:hint="eastAsia"/>
              </w:rPr>
              <w:t>New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0" w:type="dxa"/>
          </w:tcPr>
          <w:p>
            <w:pPr>
              <w:spacing w:before="120" w:after="120"/>
            </w:pPr>
            <w:r>
              <w:rPr>
                <w:rFonts w:hint="eastAsia"/>
              </w:rPr>
              <w:t>NR_XR_enh-Core</w:t>
            </w:r>
          </w:p>
        </w:tc>
        <w:tc>
          <w:tcPr>
            <w:tcW w:w="2641" w:type="dxa"/>
          </w:tcPr>
          <w:p>
            <w:pPr>
              <w:spacing w:before="120" w:after="120"/>
            </w:pPr>
            <w:r>
              <w:rPr>
                <w:rFonts w:hint="eastAsia"/>
              </w:rPr>
              <w:t xml:space="preserve">Dynamic indication of unused CG PUSCH occasion(s) by UCI </w:t>
            </w:r>
          </w:p>
        </w:tc>
        <w:tc>
          <w:tcPr>
            <w:tcW w:w="2641" w:type="dxa"/>
          </w:tcPr>
          <w:p>
            <w:pPr>
              <w:spacing w:before="120" w:after="120"/>
            </w:pPr>
            <w:r>
              <w:rPr>
                <w:rFonts w:hint="eastAsia"/>
                <w:i/>
                <w:iCs/>
              </w:rPr>
              <w:t>Beta-offset_UTO_UCI</w:t>
            </w:r>
            <w:r>
              <w:rPr>
                <w:rFonts w:hint="eastAsia"/>
              </w:rPr>
              <w:t> </w:t>
            </w:r>
          </w:p>
        </w:tc>
        <w:tc>
          <w:tcPr>
            <w:tcW w:w="2643" w:type="dxa"/>
          </w:tcPr>
          <w:p>
            <w:pPr>
              <w:spacing w:before="120" w:after="120"/>
            </w:pPr>
            <w:r>
              <w:rPr>
                <w:rFonts w:hint="eastAsia"/>
              </w:rPr>
              <w:t>New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0" w:type="dxa"/>
          </w:tcPr>
          <w:p>
            <w:pPr>
              <w:spacing w:before="120" w:after="120"/>
            </w:pPr>
            <w:r>
              <w:rPr>
                <w:rFonts w:hint="eastAsia"/>
              </w:rPr>
              <w:t>NR_XR_enh-Core</w:t>
            </w:r>
          </w:p>
        </w:tc>
        <w:tc>
          <w:tcPr>
            <w:tcW w:w="2641" w:type="dxa"/>
          </w:tcPr>
          <w:p>
            <w:pPr>
              <w:spacing w:before="120" w:after="120"/>
            </w:pPr>
            <w:r>
              <w:rPr>
                <w:rFonts w:hint="eastAsia"/>
              </w:rPr>
              <w:t xml:space="preserve">Dynamic indication of unused CG PUSCH occasion(s) by UCI </w:t>
            </w:r>
          </w:p>
        </w:tc>
        <w:tc>
          <w:tcPr>
            <w:tcW w:w="2641" w:type="dxa"/>
          </w:tcPr>
          <w:p>
            <w:pPr>
              <w:spacing w:before="120" w:after="120"/>
            </w:pPr>
            <w:r>
              <w:rPr>
                <w:rFonts w:hint="eastAsia"/>
                <w:i/>
                <w:iCs/>
              </w:rPr>
              <w:t>nrof_UTO_UCI</w:t>
            </w:r>
          </w:p>
        </w:tc>
        <w:tc>
          <w:tcPr>
            <w:tcW w:w="2643" w:type="dxa"/>
          </w:tcPr>
          <w:p>
            <w:pPr>
              <w:spacing w:before="120" w:after="120"/>
            </w:pPr>
            <w:r>
              <w:rPr>
                <w:rFonts w:hint="eastAsia"/>
              </w:rPr>
              <w:t>New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0" w:type="dxa"/>
          </w:tcPr>
          <w:p>
            <w:pPr>
              <w:spacing w:before="120" w:after="1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NR_XR_enh-Core</w:t>
            </w:r>
          </w:p>
        </w:tc>
        <w:tc>
          <w:tcPr>
            <w:tcW w:w="2641" w:type="dxa"/>
          </w:tcPr>
          <w:p>
            <w:pPr>
              <w:spacing w:before="120" w:after="120"/>
              <w:rPr>
                <w:color w:val="FF0000"/>
              </w:rPr>
            </w:pPr>
            <w:r>
              <w:rPr>
                <w:rFonts w:hint="eastAsia"/>
                <w:color w:val="FF0000"/>
                <w:lang w:val="en-US" w:eastAsia="zh-CN"/>
              </w:rPr>
              <w:t>R</w:t>
            </w:r>
            <w:r>
              <w:rPr>
                <w:rFonts w:hint="eastAsia"/>
                <w:color w:val="FF0000"/>
              </w:rPr>
              <w:t>esumption of PDCCH monitoring after NACK</w:t>
            </w:r>
          </w:p>
        </w:tc>
        <w:tc>
          <w:tcPr>
            <w:tcW w:w="2641" w:type="dxa"/>
          </w:tcPr>
          <w:p>
            <w:pPr>
              <w:spacing w:before="120" w:after="120"/>
              <w:rPr>
                <w:color w:val="FF0000"/>
              </w:rPr>
            </w:pPr>
            <w:r>
              <w:rPr>
                <w:rFonts w:hint="eastAsia"/>
                <w:i/>
                <w:iCs/>
                <w:color w:val="FF0000"/>
              </w:rPr>
              <w:t>PdcchMornitoringResumptionAfterNack</w:t>
            </w:r>
          </w:p>
        </w:tc>
        <w:tc>
          <w:tcPr>
            <w:tcW w:w="2643" w:type="dxa"/>
          </w:tcPr>
          <w:p>
            <w:pPr>
              <w:spacing w:before="120" w:after="1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New</w:t>
            </w:r>
          </w:p>
        </w:tc>
      </w:tr>
    </w:tbl>
    <w:p>
      <w:pPr>
        <w:spacing w:before="120" w:after="120"/>
      </w:pPr>
    </w:p>
    <w:p>
      <w:pPr>
        <w:pStyle w:val="61"/>
        <w:spacing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bookmarkStart w:id="26" w:name="_Toc24534"/>
      <w:r>
        <w:rPr>
          <w:rFonts w:hint="eastAsia"/>
          <w:lang w:val="en-US" w:eastAsia="zh-CN"/>
        </w:rPr>
        <w:t xml:space="preserve">Support to introduce a new RRC parameter </w:t>
      </w:r>
      <w:r>
        <w:rPr>
          <w:u w:val="single"/>
          <w:lang w:eastAsia="zh-CN"/>
        </w:rPr>
        <w:t>PdcchMornitoringResumptionAfterNack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resumption of PDCCH monitoring after NACK.</w:t>
      </w:r>
      <w:bookmarkEnd w:id="26"/>
      <w:r>
        <w:rPr>
          <w:rFonts w:hint="eastAsia"/>
          <w:lang w:val="en-US" w:eastAsia="zh-CN"/>
        </w:rPr>
        <w:t xml:space="preserve">   </w:t>
      </w:r>
    </w:p>
    <w:p>
      <w:pPr>
        <w:spacing w:before="120" w:after="120"/>
      </w:pPr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eastAsia="宋体"/>
        </w:rPr>
        <w:t>Conclusion</w:t>
      </w:r>
    </w:p>
    <w:p>
      <w:pPr>
        <w:spacing w:before="120" w:after="120"/>
      </w:pPr>
      <w:r>
        <w:rPr>
          <w:rFonts w:hint="eastAsia"/>
        </w:rPr>
        <w:t>In this contribution, we have the following observations/proposals:</w:t>
      </w:r>
    </w:p>
    <w:p>
      <w:pPr>
        <w:pStyle w:val="19"/>
        <w:tabs>
          <w:tab w:val="right" w:leader="dot" w:pos="9660"/>
          <w:tab w:val="clear" w:pos="0"/>
        </w:tabs>
        <w:jc w:val="both"/>
      </w:pPr>
      <w:r>
        <w:rPr>
          <w:sz w:val="21"/>
          <w:szCs w:val="22"/>
        </w:rPr>
        <w:fldChar w:fldCharType="begin"/>
      </w:r>
      <w:r>
        <w:rPr>
          <w:sz w:val="21"/>
          <w:szCs w:val="22"/>
        </w:rPr>
        <w:instrText xml:space="preserve">TOC \n  \t "YJ-Observation,1,sub-observation,2,3rd level observation,3" \h</w:instrText>
      </w:r>
      <w:r>
        <w:rPr>
          <w:sz w:val="21"/>
          <w:szCs w:val="22"/>
        </w:rPr>
        <w:fldChar w:fldCharType="separate"/>
      </w:r>
      <w:r>
        <w:rPr>
          <w:szCs w:val="22"/>
        </w:rPr>
        <w:fldChar w:fldCharType="begin"/>
      </w:r>
      <w:r>
        <w:rPr>
          <w:szCs w:val="22"/>
        </w:rPr>
        <w:instrText xml:space="preserve"> HYPERLINK \l _Toc22493 </w:instrText>
      </w:r>
      <w:r>
        <w:rPr>
          <w:szCs w:val="22"/>
        </w:rP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Observation 1: </w:t>
      </w:r>
      <w:r>
        <w:rPr>
          <w:rFonts w:hint="eastAsia"/>
          <w:lang w:val="en-US" w:eastAsia="zh-CN"/>
        </w:rPr>
        <w:t xml:space="preserve">The length of UCI sequence </w:t>
      </w:r>
      <w:r>
        <w:rPr>
          <w:lang w:val="en-US" w:eastAsia="zh-CN"/>
        </w:rPr>
        <w:t>will</w:t>
      </w:r>
      <w:r>
        <w:rPr>
          <w:rFonts w:hint="eastAsia"/>
          <w:lang w:val="en-US" w:eastAsia="zh-CN"/>
        </w:rPr>
        <w:t xml:space="preserve"> be larger than 11 bit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when UTO-UCI and HARQ-ACK are jointly encoded, </w:t>
      </w:r>
      <w:r>
        <w:rPr>
          <w:lang w:val="en-US" w:eastAsia="zh-CN"/>
        </w:rPr>
        <w:t>where</w:t>
      </w:r>
      <w:r>
        <w:rPr>
          <w:rFonts w:hint="eastAsia"/>
          <w:lang w:val="en-US" w:eastAsia="zh-CN"/>
        </w:rPr>
        <w:t xml:space="preserve"> Polar cod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 should be considered.</w:t>
      </w:r>
      <w:r>
        <w:rPr>
          <w:szCs w:val="22"/>
        </w:rPr>
        <w:fldChar w:fldCharType="end"/>
      </w:r>
    </w:p>
    <w:p>
      <w:pPr>
        <w:pStyle w:val="19"/>
        <w:tabs>
          <w:tab w:val="right" w:leader="dot" w:pos="9660"/>
          <w:tab w:val="clear" w:pos="0"/>
        </w:tabs>
        <w:jc w:val="both"/>
      </w:pPr>
      <w:r>
        <w:rPr>
          <w:szCs w:val="22"/>
        </w:rPr>
        <w:fldChar w:fldCharType="begin"/>
      </w:r>
      <w:r>
        <w:rPr>
          <w:szCs w:val="22"/>
        </w:rPr>
        <w:instrText xml:space="preserve"> HYPERLINK \l _Toc20679 </w:instrText>
      </w:r>
      <w:r>
        <w:rPr>
          <w:szCs w:val="22"/>
        </w:rP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Observation 2: </w:t>
      </w:r>
      <w:r>
        <w:rPr>
          <w:rFonts w:hint="eastAsia"/>
          <w:lang w:val="en-US" w:eastAsia="zh-CN"/>
        </w:rPr>
        <w:t>Wrong reference may occur if simply replace the CG-UCI with UTO-UCI.</w:t>
      </w:r>
      <w:r>
        <w:rPr>
          <w:szCs w:val="22"/>
        </w:rPr>
        <w:fldChar w:fldCharType="end"/>
      </w:r>
    </w:p>
    <w:p>
      <w:pPr>
        <w:spacing w:before="120" w:after="120"/>
        <w:jc w:val="both"/>
        <w:rPr>
          <w:szCs w:val="22"/>
        </w:rPr>
      </w:pPr>
      <w:r>
        <w:rPr>
          <w:szCs w:val="22"/>
        </w:rPr>
        <w:fldChar w:fldCharType="end"/>
      </w:r>
    </w:p>
    <w:p>
      <w:pPr>
        <w:pStyle w:val="19"/>
        <w:tabs>
          <w:tab w:val="right" w:leader="dot" w:pos="9660"/>
          <w:tab w:val="clear" w:pos="0"/>
        </w:tabs>
        <w:jc w:val="both"/>
      </w:pPr>
      <w:r>
        <w:fldChar w:fldCharType="begin"/>
      </w:r>
      <w:r>
        <w:instrText xml:space="preserve">TOC \n  \t "YJ-Proposal,1,sub-proposal,2,3rd level proposal,3" \h</w:instrText>
      </w:r>
      <w:r>
        <w:fldChar w:fldCharType="separate"/>
      </w:r>
      <w:r>
        <w:fldChar w:fldCharType="begin"/>
      </w:r>
      <w:r>
        <w:instrText xml:space="preserve"> HYPERLINK \l _Toc25062 </w:instrText>
      </w:r>
      <w: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Proposal 1: </w:t>
      </w:r>
      <w:r>
        <w:rPr>
          <w:rFonts w:hint="eastAsia"/>
          <w:lang w:val="en-US" w:eastAsia="zh-CN"/>
        </w:rPr>
        <w:t xml:space="preserve">Consider TP#1 to TP#5 for UTO-UCI in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38.212.</w:t>
      </w:r>
      <w:r>
        <w:fldChar w:fldCharType="end"/>
      </w:r>
    </w:p>
    <w:p>
      <w:pPr>
        <w:pStyle w:val="19"/>
        <w:tabs>
          <w:tab w:val="right" w:leader="dot" w:pos="9660"/>
          <w:tab w:val="clear" w:pos="0"/>
        </w:tabs>
        <w:jc w:val="both"/>
      </w:pPr>
      <w:r>
        <w:fldChar w:fldCharType="begin"/>
      </w:r>
      <w:r>
        <w:instrText xml:space="preserve"> HYPERLINK \l _Toc4834 </w:instrText>
      </w:r>
      <w: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Proposal 2: </w:t>
      </w:r>
      <w:r>
        <w:rPr>
          <w:rFonts w:hint="eastAsia"/>
          <w:lang w:val="en-US" w:eastAsia="zh-CN"/>
        </w:rPr>
        <w:t xml:space="preserve">Consider TP#6 for UTO-UCI and HARQ-ACK jointly encoding in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38.213.</w:t>
      </w:r>
      <w:r>
        <w:fldChar w:fldCharType="end"/>
      </w:r>
    </w:p>
    <w:p>
      <w:pPr>
        <w:pStyle w:val="19"/>
        <w:tabs>
          <w:tab w:val="right" w:leader="dot" w:pos="9660"/>
          <w:tab w:val="clear" w:pos="0"/>
        </w:tabs>
        <w:jc w:val="both"/>
      </w:pPr>
      <w:r>
        <w:fldChar w:fldCharType="begin"/>
      </w:r>
      <w:r>
        <w:instrText xml:space="preserve"> HYPERLINK \l _Toc24534 </w:instrText>
      </w:r>
      <w: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lang w:val="en-US" w:eastAsia="zh-CN"/>
        </w:rPr>
        <w:t xml:space="preserve">Proposal 3: </w:t>
      </w:r>
      <w:r>
        <w:rPr>
          <w:rFonts w:hint="eastAsia"/>
          <w:lang w:val="en-US" w:eastAsia="zh-CN"/>
        </w:rPr>
        <w:t xml:space="preserve">Support to introduce a new RRC parameter </w:t>
      </w:r>
      <w:r>
        <w:rPr>
          <w:lang w:eastAsia="zh-CN"/>
        </w:rPr>
        <w:t>PdcchMornitoringResumptionAfterNack</w:t>
      </w:r>
      <w:r>
        <w:rPr>
          <w:rFonts w:hint="eastAsia"/>
          <w:lang w:val="en-US" w:eastAsia="zh-CN"/>
        </w:rPr>
        <w:t xml:space="preserve"> for resumption of PDCCH monitoring after NACK.</w:t>
      </w:r>
      <w:r>
        <w:fldChar w:fldCharType="end"/>
      </w:r>
    </w:p>
    <w:p>
      <w:pPr>
        <w:spacing w:before="120" w:after="120"/>
        <w:jc w:val="both"/>
        <w:rPr>
          <w:szCs w:val="22"/>
        </w:rPr>
      </w:pPr>
      <w:r>
        <w:fldChar w:fldCharType="end"/>
      </w:r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hint="eastAsia" w:eastAsia="宋体"/>
        </w:rPr>
        <w:t>Reference</w:t>
      </w:r>
      <w:r>
        <w:rPr>
          <w:rFonts w:eastAsia="宋体"/>
        </w:rPr>
        <w:t>s</w:t>
      </w:r>
    </w:p>
    <w:p>
      <w:pPr>
        <w:pStyle w:val="37"/>
        <w:spacing w:before="120" w:after="120"/>
        <w:ind w:left="363" w:hanging="363"/>
      </w:pPr>
      <w:r>
        <w:rPr>
          <w:rFonts w:hint="eastAsia"/>
          <w:lang w:val="en-US" w:eastAsia="zh-CN"/>
        </w:rPr>
        <w:t xml:space="preserve">TS 38.212 V18.0.0, </w:t>
      </w:r>
      <w:r>
        <w:rPr>
          <w:rFonts w:hint="default"/>
          <w:lang w:val="en-US" w:eastAsia="zh-CN"/>
        </w:rPr>
        <w:t>“Multiplexing and channel coding”</w:t>
      </w:r>
      <w:r>
        <w:rPr>
          <w:rFonts w:hint="eastAsia"/>
          <w:lang w:val="en-US" w:eastAsia="zh-CN"/>
        </w:rPr>
        <w:t xml:space="preserve"> (Release 18)</w:t>
      </w:r>
    </w:p>
    <w:p>
      <w:pPr>
        <w:pStyle w:val="37"/>
        <w:spacing w:before="120" w:after="120"/>
        <w:ind w:left="363" w:hanging="363"/>
      </w:pPr>
      <w:r>
        <w:rPr>
          <w:rFonts w:hint="eastAsia"/>
          <w:lang w:val="en-US" w:eastAsia="zh-CN"/>
        </w:rPr>
        <w:t xml:space="preserve">TS 38.213 V18.0.0, </w:t>
      </w:r>
      <w:r>
        <w:rPr>
          <w:rFonts w:hint="default"/>
          <w:lang w:val="en-US" w:eastAsia="zh-CN"/>
        </w:rPr>
        <w:t>“</w:t>
      </w:r>
      <w:r>
        <w:t>Physical layer procedures for control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(Release 18)</w:t>
      </w:r>
    </w:p>
    <w:p>
      <w:pPr>
        <w:pStyle w:val="37"/>
        <w:spacing w:before="120" w:after="120"/>
        <w:ind w:left="363" w:hanging="363"/>
      </w:pPr>
      <w:r>
        <w:rPr>
          <w:lang w:val="en-GB"/>
        </w:rPr>
        <w:t>RP-231820</w:t>
      </w:r>
      <w:r>
        <w:rPr>
          <w:rFonts w:hint="eastAsia"/>
        </w:rPr>
        <w:t xml:space="preserve">, </w:t>
      </w:r>
      <w:r>
        <w:t>“PDCCH monitoring resumption after UL NACK”</w:t>
      </w:r>
      <w:r>
        <w:rPr>
          <w:rFonts w:hint="eastAsia"/>
        </w:rPr>
        <w:t>, vivo, Qualcomm, ZTE, Sanechips, Ericsson, MediaTek, Huawei, HiSilicon, 3GPP TSG RAN Meeting #101, Bangalore, India, September 11-15, 2023.</w:t>
      </w:r>
    </w:p>
    <w:p>
      <w:pPr>
        <w:pStyle w:val="37"/>
        <w:spacing w:before="120" w:after="120"/>
        <w:ind w:left="363" w:hanging="363"/>
      </w:pPr>
      <w:r>
        <w:rPr>
          <w:rFonts w:hint="eastAsia"/>
        </w:rPr>
        <w:t>RAN1</w:t>
      </w:r>
      <w:r>
        <w:t>’</w:t>
      </w:r>
      <w:r>
        <w:rPr>
          <w:rFonts w:hint="eastAsia"/>
        </w:rPr>
        <w:t>s Chair notes, RAN1#112bis, e-Meeting, April 17th – April 26th, 2023.</w:t>
      </w:r>
    </w:p>
    <w:p>
      <w:pPr>
        <w:pStyle w:val="37"/>
        <w:spacing w:before="120" w:after="120"/>
        <w:ind w:left="363" w:hanging="363"/>
      </w:pPr>
      <w:r>
        <w:rPr>
          <w:rFonts w:hint="eastAsia"/>
        </w:rPr>
        <w:t>RAN1</w:t>
      </w:r>
      <w:r>
        <w:t>’</w:t>
      </w:r>
      <w:r>
        <w:rPr>
          <w:rFonts w:hint="eastAsia"/>
        </w:rPr>
        <w:t>s Chair notes, RAN1#114 meeting, Toulouse, France, August 21st–August 25th, 2023</w:t>
      </w:r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hint="eastAsia" w:eastAsia="宋体"/>
        </w:rPr>
        <w:t>Appendix</w:t>
      </w:r>
    </w:p>
    <w:p>
      <w:pPr>
        <w:pStyle w:val="3"/>
        <w:numPr>
          <w:ilvl w:val="1"/>
          <w:numId w:val="0"/>
        </w:numPr>
        <w:spacing w:before="120" w:after="120"/>
        <w:ind w:left="-319" w:leftChars="-152" w:right="210" w:rightChars="100" w:firstLine="42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TP#1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spacing w:before="120" w:after="120"/>
              <w:ind w:left="1701" w:hanging="1701"/>
              <w:outlineLvl w:val="4"/>
              <w:rPr>
                <w:rFonts w:ascii="Arial" w:hAnsi="Arial"/>
                <w:sz w:val="22"/>
                <w:highlight w:val="green"/>
              </w:rPr>
            </w:pPr>
            <w:r>
              <w:rPr>
                <w:rFonts w:hint="eastAsia" w:ascii="Arial" w:hAnsi="Arial"/>
                <w:sz w:val="22"/>
                <w:highlight w:val="green"/>
              </w:rPr>
              <w:t>TP#1</w:t>
            </w:r>
          </w:p>
          <w:p>
            <w:pPr>
              <w:keepNext/>
              <w:keepLines/>
              <w:spacing w:before="120" w:after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>
              <w:rPr>
                <w:rFonts w:hint="eastAsia" w:ascii="Arial" w:hAnsi="Arial"/>
                <w:sz w:val="22"/>
              </w:rPr>
              <w:t>6.3.2.4.1</w:t>
            </w:r>
            <w:r>
              <w:rPr>
                <w:rFonts w:hint="eastAsia" w:ascii="Arial" w:hAnsi="Arial"/>
                <w:sz w:val="22"/>
              </w:rPr>
              <w:tab/>
            </w:r>
            <w:r>
              <w:rPr>
                <w:rFonts w:hint="eastAsia" w:ascii="Arial" w:hAnsi="Arial"/>
                <w:sz w:val="22"/>
              </w:rPr>
              <w:t>UCI encoded by Polar code</w:t>
            </w:r>
          </w:p>
          <w:p>
            <w:pPr>
              <w:spacing w:before="120" w:after="1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&lt; Unchanged parts are omitted &gt;</w:t>
            </w:r>
          </w:p>
          <w:p>
            <w:pPr>
              <w:spacing w:before="120" w:after="120"/>
            </w:pPr>
            <w:r>
              <w:rPr>
                <w:rFonts w:hint="eastAsia"/>
              </w:rPr>
              <w:t>6.3.2.4.1.5 HARQ-ACK and CG-UCI</w:t>
            </w:r>
          </w:p>
          <w:p>
            <w:pPr>
              <w:spacing w:before="120" w:after="120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I</w:t>
            </w:r>
            <w:r>
              <w:rPr>
                <w:rFonts w:hint="eastAsia"/>
                <w:color w:val="0000FF"/>
                <w:u w:val="single"/>
              </w:rPr>
              <w:t xml:space="preserve">f </w:t>
            </w:r>
            <w:r>
              <w:rPr>
                <w:color w:val="0000FF"/>
                <w:u w:val="single"/>
              </w:rPr>
              <w:t xml:space="preserve">the higher layer parameter </w:t>
            </w:r>
            <w:r>
              <w:rPr>
                <w:i/>
                <w:iCs/>
                <w:color w:val="0000FF"/>
                <w:u w:val="single"/>
              </w:rPr>
              <w:t xml:space="preserve">nrof_UTO_UCI </w:t>
            </w:r>
            <w:r>
              <w:rPr>
                <w:color w:val="0000FF"/>
                <w:u w:val="single"/>
              </w:rPr>
              <w:t xml:space="preserve">is configured, the procedures in this clause and the clauses it refers to apply by replacing CG-UCI with UTO-UCI in all the notations and texts. </w:t>
            </w:r>
          </w:p>
          <w:p>
            <w:pPr>
              <w:spacing w:before="120" w:after="120"/>
              <w:jc w:val="center"/>
              <w:rPr>
                <w:rFonts w:hAnsi="Cambria Math"/>
                <w:color w:val="0000FF"/>
                <w:u w:val="single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&lt; Unchanged parts are omitted &gt;</w:t>
            </w:r>
          </w:p>
        </w:tc>
      </w:tr>
    </w:tbl>
    <w:p>
      <w:pPr>
        <w:pStyle w:val="37"/>
        <w:numPr>
          <w:ilvl w:val="0"/>
          <w:numId w:val="0"/>
        </w:numPr>
        <w:spacing w:before="120" w:after="120"/>
      </w:pPr>
    </w:p>
    <w:p>
      <w:pPr>
        <w:pStyle w:val="37"/>
        <w:numPr>
          <w:ilvl w:val="0"/>
          <w:numId w:val="0"/>
        </w:numPr>
        <w:spacing w:before="120" w:after="120"/>
      </w:pPr>
    </w:p>
    <w:p>
      <w:pPr>
        <w:pStyle w:val="37"/>
        <w:numPr>
          <w:ilvl w:val="0"/>
          <w:numId w:val="0"/>
        </w:numPr>
        <w:spacing w:before="120" w:after="120"/>
      </w:pPr>
    </w:p>
    <w:p>
      <w:pPr>
        <w:pStyle w:val="37"/>
        <w:numPr>
          <w:ilvl w:val="0"/>
          <w:numId w:val="0"/>
        </w:numPr>
        <w:spacing w:before="120" w:after="120"/>
      </w:pPr>
    </w:p>
    <w:p>
      <w:pPr>
        <w:pStyle w:val="37"/>
        <w:numPr>
          <w:ilvl w:val="0"/>
          <w:numId w:val="0"/>
        </w:numPr>
        <w:spacing w:before="120" w:after="120"/>
      </w:pPr>
    </w:p>
    <w:p>
      <w:pPr>
        <w:pStyle w:val="37"/>
        <w:numPr>
          <w:ilvl w:val="0"/>
          <w:numId w:val="0"/>
        </w:numPr>
        <w:spacing w:before="120" w:after="120"/>
      </w:pPr>
    </w:p>
    <w:p>
      <w:pPr>
        <w:pStyle w:val="37"/>
        <w:numPr>
          <w:ilvl w:val="0"/>
          <w:numId w:val="0"/>
        </w:numPr>
        <w:spacing w:before="120" w:after="120"/>
      </w:pPr>
    </w:p>
    <w:p>
      <w:pPr>
        <w:pStyle w:val="3"/>
        <w:numPr>
          <w:ilvl w:val="1"/>
          <w:numId w:val="0"/>
        </w:numPr>
        <w:spacing w:before="120" w:after="120"/>
        <w:ind w:left="-319" w:leftChars="-152" w:right="210" w:rightChars="100" w:firstLine="420" w:firstLineChars="0"/>
        <w:rPr>
          <w:rFonts w:hint="default"/>
          <w:lang w:val="en-US"/>
        </w:rPr>
      </w:pPr>
      <w:r>
        <w:rPr>
          <w:rFonts w:hint="eastAsia"/>
          <w:lang w:val="en-US" w:eastAsia="zh-CN"/>
        </w:rPr>
        <w:t>TP#2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spacing w:before="120" w:after="120"/>
              <w:ind w:left="1701" w:hanging="1701"/>
              <w:outlineLvl w:val="4"/>
              <w:rPr>
                <w:rFonts w:ascii="Arial" w:hAnsi="Arial"/>
                <w:sz w:val="22"/>
              </w:rPr>
            </w:pPr>
            <w:bookmarkStart w:id="27" w:name="_Toc36046181"/>
            <w:bookmarkStart w:id="28" w:name="_Toc45209244"/>
            <w:bookmarkStart w:id="29" w:name="_Toc129874497"/>
            <w:bookmarkStart w:id="30" w:name="_Toc36046327"/>
            <w:bookmarkStart w:id="31" w:name="_Toc51852417"/>
            <w:bookmarkStart w:id="32" w:name="_Toc36045921"/>
            <w:bookmarkStart w:id="33" w:name="_Toc29327731"/>
            <w:bookmarkStart w:id="34" w:name="_Toc19798751"/>
            <w:bookmarkStart w:id="35" w:name="_Toc29326581"/>
            <w:bookmarkStart w:id="36" w:name="_Toc26467222"/>
            <w:r>
              <w:rPr>
                <w:rFonts w:hint="eastAsia" w:ascii="Arial" w:hAnsi="Arial"/>
                <w:sz w:val="22"/>
                <w:highlight w:val="green"/>
              </w:rPr>
              <w:t>TP#2</w:t>
            </w:r>
          </w:p>
          <w:p>
            <w:pPr>
              <w:keepNext/>
              <w:keepLines/>
              <w:spacing w:before="120" w:after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>
              <w:rPr>
                <w:rFonts w:hint="eastAsia" w:ascii="Arial" w:hAnsi="Arial"/>
                <w:sz w:val="22"/>
              </w:rPr>
              <w:t>6.3.2.4.2</w:t>
            </w:r>
            <w:r>
              <w:rPr>
                <w:rFonts w:hint="eastAsia" w:ascii="Arial" w:hAnsi="Arial"/>
                <w:sz w:val="22"/>
              </w:rPr>
              <w:tab/>
            </w:r>
            <w:r>
              <w:rPr>
                <w:rFonts w:hint="eastAsia" w:ascii="Arial" w:hAnsi="Arial"/>
                <w:sz w:val="22"/>
              </w:rPr>
              <w:t>UCI encoded by channel coding of small block lengths</w:t>
            </w:r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</w:p>
          <w:p>
            <w:pPr>
              <w:spacing w:before="120" w:after="1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&lt; Unchanged parts are omitted &gt;</w:t>
            </w:r>
          </w:p>
          <w:p>
            <w:pPr>
              <w:keepNext/>
              <w:keepLines/>
              <w:spacing w:before="120" w:after="120"/>
              <w:ind w:left="1985" w:hanging="1985"/>
              <w:outlineLvl w:val="5"/>
              <w:rPr>
                <w:rFonts w:ascii="Arial" w:hAnsi="Arial"/>
                <w:color w:val="0000FF"/>
                <w:u w:val="single"/>
              </w:rPr>
            </w:pPr>
            <w:r>
              <w:rPr>
                <w:rFonts w:hint="eastAsia" w:ascii="Arial" w:hAnsi="Arial"/>
                <w:color w:val="0000FF"/>
                <w:u w:val="single"/>
              </w:rPr>
              <w:t>6.3.2.4.2.</w:t>
            </w:r>
            <w:r>
              <w:rPr>
                <w:rFonts w:ascii="Arial" w:hAnsi="Arial"/>
                <w:color w:val="0000FF"/>
                <w:u w:val="single"/>
              </w:rPr>
              <w:t>4</w:t>
            </w:r>
            <w:r>
              <w:rPr>
                <w:rFonts w:hint="eastAsia" w:ascii="Arial" w:hAnsi="Arial"/>
                <w:color w:val="0000FF"/>
                <w:u w:val="single"/>
              </w:rPr>
              <w:t>A</w:t>
            </w:r>
            <w:r>
              <w:rPr>
                <w:rFonts w:hint="eastAsia" w:ascii="Arial" w:hAnsi="Arial"/>
                <w:color w:val="0000FF"/>
                <w:u w:val="single"/>
              </w:rPr>
              <w:tab/>
            </w:r>
            <w:r>
              <w:rPr>
                <w:rFonts w:hint="eastAsia" w:ascii="Arial" w:hAnsi="Arial"/>
                <w:color w:val="0000FF"/>
                <w:u w:val="single"/>
              </w:rPr>
              <w:t>UTO</w:t>
            </w:r>
            <w:r>
              <w:rPr>
                <w:rFonts w:ascii="Arial" w:hAnsi="Arial"/>
                <w:color w:val="0000FF"/>
                <w:u w:val="single"/>
              </w:rPr>
              <w:t xml:space="preserve">-UCI </w:t>
            </w:r>
          </w:p>
          <w:p>
            <w:pPr>
              <w:pStyle w:val="64"/>
              <w:spacing w:before="120" w:after="120"/>
              <w:ind w:left="0" w:firstLine="0"/>
              <w:rPr>
                <w:rFonts w:hAnsi="Cambria Math"/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 xml:space="preserve">For </w:t>
            </w:r>
            <w:r>
              <w:rPr>
                <w:rFonts w:hint="eastAsia"/>
                <w:color w:val="0000FF"/>
                <w:u w:val="single"/>
              </w:rPr>
              <w:t>UTO-UCI</w:t>
            </w:r>
            <w:r>
              <w:rPr>
                <w:color w:val="0000FF"/>
                <w:u w:val="single"/>
              </w:rPr>
              <w:t xml:space="preserve"> transmission on PUSCH, the number of coded modulation symbols per layer for </w:t>
            </w:r>
            <w:r>
              <w:rPr>
                <w:rFonts w:hint="eastAsia"/>
                <w:color w:val="0000FF"/>
                <w:u w:val="single"/>
              </w:rPr>
              <w:t>UTO-UCI</w:t>
            </w:r>
            <w:r>
              <w:rPr>
                <w:color w:val="0000FF"/>
                <w:u w:val="single"/>
              </w:rPr>
              <w:t xml:space="preserve"> transmission, denoted as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Q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UTO−UCI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'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up>
              </m:sSubSup>
            </m:oMath>
            <w:r>
              <w:rPr>
                <w:rFonts w:hint="eastAsia" w:hAnsi="Cambria Math"/>
                <w:color w:val="0000FF"/>
                <w:u w:val="single"/>
              </w:rPr>
              <w:t>， is determined as follows:</w:t>
            </w:r>
          </w:p>
          <w:p>
            <w:pPr>
              <w:keepLines/>
              <w:tabs>
                <w:tab w:val="center" w:pos="4536"/>
                <w:tab w:val="right" w:pos="9072"/>
              </w:tabs>
              <w:spacing w:before="120" w:after="120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color w:val="0000FF"/>
                      <w:highlight w:val="none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highlight w:val="none"/>
                      <w:u w:val="single"/>
                    </w:rPr>
                    <m:t>Q</m:t>
                  </m:r>
                  <m:ctrlPr>
                    <w:rPr>
                      <w:rFonts w:ascii="Cambria Math" w:hAnsi="Cambria Math"/>
                      <w:color w:val="0000FF"/>
                      <w:highlight w:val="none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highlight w:val="none"/>
                      <w:u w:val="single"/>
                    </w:rPr>
                    <m:t>UTO−UCI</m:t>
                  </m:r>
                  <m:ctrlPr>
                    <w:rPr>
                      <w:rFonts w:ascii="Cambria Math" w:hAnsi="Cambria Math"/>
                      <w:color w:val="0000FF"/>
                      <w:highlight w:val="none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highlight w:val="none"/>
                      <w:u w:val="single"/>
                    </w:rPr>
                    <m:t>'</m:t>
                  </m:r>
                  <m:ctrlPr>
                    <w:rPr>
                      <w:rFonts w:ascii="Cambria Math" w:hAnsi="Cambria Math"/>
                      <w:color w:val="0000FF"/>
                      <w:highlight w:val="none"/>
                      <w:u w:val="single"/>
                    </w:rPr>
                  </m:ctrlP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color w:val="0000FF"/>
                  <w:highlight w:val="none"/>
                  <w:u w:val="single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color w:val="0000FF"/>
                      <w:highlight w:val="none"/>
                      <w:u w:val="single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highlight w:val="none"/>
                      <w:u w:val="single"/>
                    </w:rPr>
                    <m:t>min</m:t>
                  </m:r>
                  <m:ctrlPr>
                    <w:rPr>
                      <w:rFonts w:ascii="Cambria Math" w:hAnsi="Cambria Math"/>
                      <w:color w:val="0000FF"/>
                      <w:highlight w:val="none"/>
                      <w:u w:val="single"/>
                    </w:rPr>
                  </m:ctrlPr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color w:val="0000FF"/>
                          <w:highlight w:val="none"/>
                          <w:u w:val="single"/>
                        </w:rPr>
                      </m:ctrlPr>
                    </m:dPr>
                    <m:e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color w:val="0000FF"/>
                              <w:highlight w:val="none"/>
                              <w:u w:val="single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color w:val="0000FF"/>
                                  <w:highlight w:val="none"/>
                                  <w:u w:val="single"/>
                                </w:rPr>
                              </m:ctrlPr>
                            </m:fPr>
                            <m:num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/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  <m:t>O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  <m:t>UTO−UCI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</m:ctrlP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/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  <m:t>L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  <m:t>UTO−UCI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</m:ctrlPr>
                                    </m:sub>
                                  </m:sSub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FF"/>
                                  <w:highlight w:val="none"/>
                                  <w:u w:val="single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sSubSup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  <m:t>β</m:t>
                                  </m:r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  <m:t>offset</m:t>
                                  </m:r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  <m:t>PUSCH</m:t>
                                  </m:r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FF"/>
                                  <w:highlight w:val="none"/>
                                  <w:u w:val="single"/>
                                </w:rPr>
                                <m:t>∙</m:t>
                              </m:r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naryPr>
                                <m:sub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  <m:t>=0</m:t>
                                  </m:r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sub>
                                <m: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/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  <m:t>N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  <m:t>symb,all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  <m:t>PUSCH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</m:ctrlP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  <m:t>−1</m:t>
                                  </m:r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sup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/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  <m:t>M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  <m:t>sc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  <m:t>UCI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</m:ctrlPr>
                                    </m:sup>
                                  </m:sSub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/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  <m:t>l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</m:ctrlPr>
                                    </m:e>
                                  </m:d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e>
                              </m:nary>
                              <m:ctrlPr>
                                <w:rPr>
                                  <w:rFonts w:ascii="Cambria Math" w:hAnsi="Cambria Math"/>
                                  <w:color w:val="0000FF"/>
                                  <w:highlight w:val="none"/>
                                  <w:u w:val="single"/>
                                </w:rPr>
                              </m:ctrlPr>
                            </m:num>
                            <m:den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naryPr>
                                <m:sub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  <m:t>r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  <m:t>=0</m:t>
                                  </m:r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sub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/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  <m:t>C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/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  <m:t>UL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  <m:t>−</m:t>
                                      </m:r>
                                      <m:r>
                                        <m:rPr/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  <m:t>SCH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</m:ctrlP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  <m:t>−1</m:t>
                                  </m:r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/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  <m:t>K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/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  <m:t>r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color w:val="0000FF"/>
                                          <w:highlight w:val="none"/>
                                          <w:u w:val="single"/>
                                        </w:rPr>
                                      </m:ctrlPr>
                                    </m:sub>
                                  </m:sSub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e>
                              </m:nary>
                              <m:ctrlPr>
                                <w:rPr>
                                  <w:rFonts w:ascii="Cambria Math" w:hAnsi="Cambria Math"/>
                                  <w:color w:val="0000FF"/>
                                  <w:highlight w:val="none"/>
                                  <w:u w:val="single"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/>
                              <w:color w:val="0000FF"/>
                              <w:highlight w:val="none"/>
                              <w:u w:val="single"/>
                            </w:rPr>
                          </m:ctrlP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FF"/>
                          <w:highlight w:val="none"/>
                          <w:u w:val="single"/>
                        </w:rPr>
                        <m:t>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color w:val="0000FF"/>
                              <w:highlight w:val="none"/>
                              <w:u w:val="single"/>
                            </w:rPr>
                          </m:ctrlPr>
                        </m:dPr>
                        <m:e>
                          <m:r>
                            <m:rPr/>
                            <w:rPr>
                              <w:rFonts w:ascii="Cambria Math" w:hAnsi="Cambria Math"/>
                              <w:color w:val="0000FF"/>
                              <w:highlight w:val="none"/>
                              <w:u w:val="single"/>
                            </w:rPr>
                            <m:t>α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FF"/>
                              <w:highlight w:val="none"/>
                              <w:u w:val="single"/>
                            </w:rPr>
                            <m:t>∙</m:t>
                          </m:r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color w:val="0000FF"/>
                                  <w:highlight w:val="none"/>
                                  <w:u w:val="single"/>
                                </w:rPr>
                              </m:ctrlPr>
                            </m:naryPr>
                            <m:sub>
                              <m:r>
                                <m:rPr/>
                                <w:rPr>
                                  <w:rFonts w:ascii="Cambria Math" w:hAnsi="Cambria Math"/>
                                  <w:color w:val="0000FF"/>
                                  <w:highlight w:val="none"/>
                                  <w:u w:val="singl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FF"/>
                                  <w:highlight w:val="none"/>
                                  <w:u w:val="single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  <m:t>l</m:t>
                                  </m:r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  <m:t>0</m:t>
                                  </m:r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sub>
                              </m:sSub>
                              <m:ctrlPr>
                                <w:rPr>
                                  <w:rFonts w:ascii="Cambria Math" w:hAnsi="Cambria Math"/>
                                  <w:color w:val="0000FF"/>
                                  <w:highlight w:val="none"/>
                                  <w:u w:val="single"/>
                                </w:rPr>
                              </m:ctrlPr>
                            </m:sub>
                            <m:sup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sSubSup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  <m:t>N</m:t>
                                  </m:r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  <m:t>symb,all</m:t>
                                  </m:r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  <m:t>PUSCH</m:t>
                                  </m:r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FF"/>
                                  <w:highlight w:val="none"/>
                                  <w:u w:val="single"/>
                                </w:rPr>
                                <m:t>−1</m:t>
                              </m:r>
                              <m:ctrlPr>
                                <w:rPr>
                                  <w:rFonts w:ascii="Cambria Math" w:hAnsi="Cambria Math"/>
                                  <w:color w:val="0000FF"/>
                                  <w:highlight w:val="none"/>
                                  <w:u w:val="single"/>
                                </w:rPr>
                              </m:ctrlPr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sSubSup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  <m:t>M</m:t>
                                  </m:r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  <m:t>sc</m:t>
                                  </m:r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  <m:t>UCI</m:t>
                                  </m:r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sup>
                              </m:sSub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d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  <m:t>l</m:t>
                                  </m:r>
                                  <m:ctrlPr>
                                    <w:rPr>
                                      <w:rFonts w:ascii="Cambria Math" w:hAnsi="Cambria Math"/>
                                      <w:color w:val="0000FF"/>
                                      <w:highlight w:val="none"/>
                                      <w:u w:val="single"/>
                                    </w:rPr>
                                  </m:ctrlPr>
                                </m:e>
                              </m:d>
                              <m:ctrlPr>
                                <w:rPr>
                                  <w:rFonts w:ascii="Cambria Math" w:hAnsi="Cambria Math"/>
                                  <w:color w:val="0000FF"/>
                                  <w:highlight w:val="none"/>
                                  <w:u w:val="single"/>
                                </w:rPr>
                              </m:ctrlPr>
                            </m:e>
                          </m:nary>
                          <m:ctrlPr>
                            <w:rPr>
                              <w:rFonts w:ascii="Cambria Math" w:hAnsi="Cambria Math"/>
                              <w:color w:val="0000FF"/>
                              <w:highlight w:val="none"/>
                              <w:u w:val="single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/>
                          <w:color w:val="0000FF"/>
                          <w:highlight w:val="none"/>
                          <w:u w:val="single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color w:val="0000FF"/>
                      <w:highlight w:val="none"/>
                      <w:u w:val="single"/>
                    </w:rPr>
                  </m:ctrlPr>
                </m:e>
              </m:func>
            </m:oMath>
          </w:p>
          <w:p>
            <w:pPr>
              <w:spacing w:before="120" w:after="120"/>
              <w:rPr>
                <w:color w:val="0000FF"/>
                <w:u w:val="single"/>
              </w:rPr>
            </w:pPr>
            <w:r>
              <w:rPr>
                <w:rFonts w:hint="eastAsia"/>
                <w:color w:val="0000FF"/>
                <w:u w:val="single"/>
              </w:rPr>
              <w:t>where</w:t>
            </w:r>
          </w:p>
          <w:p>
            <w:pPr>
              <w:spacing w:before="120" w:after="120"/>
              <w:ind w:left="568" w:hanging="284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-</w:t>
            </w:r>
            <w:r>
              <w:rPr>
                <w:color w:val="0000FF"/>
                <w:u w:val="single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O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UTO−UCI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</m:sSub>
            </m:oMath>
            <w:r>
              <w:rPr>
                <w:color w:val="0000FF"/>
                <w:u w:val="single"/>
              </w:rPr>
              <w:t xml:space="preserve"> is the number of </w:t>
            </w:r>
            <w:r>
              <w:rPr>
                <w:rFonts w:hint="eastAsia"/>
                <w:color w:val="0000FF"/>
                <w:u w:val="single"/>
              </w:rPr>
              <w:t>UTO</w:t>
            </w:r>
            <w:r>
              <w:rPr>
                <w:color w:val="0000FF"/>
                <w:u w:val="single"/>
              </w:rPr>
              <w:t>-UCI bits;</w:t>
            </w:r>
          </w:p>
          <w:p>
            <w:pPr>
              <w:spacing w:before="120" w:after="120"/>
              <w:ind w:left="568" w:hanging="284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-</w:t>
            </w:r>
            <w:r>
              <w:rPr>
                <w:color w:val="0000FF"/>
                <w:u w:val="single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UTO−UCI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</m:sSub>
            </m:oMath>
            <w:r>
              <w:rPr>
                <w:rFonts w:hint="eastAsia"/>
                <w:color w:val="0000FF"/>
                <w:u w:val="single"/>
              </w:rPr>
              <w:t xml:space="preserve"> is the number of CRC bits for UTO</w:t>
            </w:r>
            <w:r>
              <w:rPr>
                <w:color w:val="0000FF"/>
                <w:u w:val="single"/>
              </w:rPr>
              <w:t>-UCI</w:t>
            </w:r>
            <w:r>
              <w:rPr>
                <w:rFonts w:hint="eastAsia"/>
                <w:color w:val="0000FF"/>
                <w:u w:val="single"/>
              </w:rPr>
              <w:t xml:space="preserve"> determined according to Clause 6.3.1.2.</w:t>
            </w:r>
            <w:r>
              <w:rPr>
                <w:rFonts w:hint="eastAsia"/>
                <w:color w:val="0000FF"/>
                <w:u w:val="single"/>
                <w:lang w:val="en-US" w:eastAsia="zh-CN"/>
              </w:rPr>
              <w:t>2</w:t>
            </w:r>
            <w:r>
              <w:rPr>
                <w:rFonts w:hint="eastAsia"/>
                <w:color w:val="0000FF"/>
                <w:u w:val="single"/>
              </w:rPr>
              <w:t>;</w:t>
            </w:r>
          </w:p>
          <w:p>
            <w:pPr>
              <w:spacing w:before="120" w:after="120"/>
              <w:ind w:left="568" w:hanging="284"/>
              <w:rPr>
                <w:color w:val="0000FF"/>
                <w:highlight w:val="none"/>
                <w:u w:val="single"/>
              </w:rPr>
            </w:pPr>
            <w:r>
              <w:rPr>
                <w:color w:val="0000FF"/>
                <w:highlight w:val="none"/>
                <w:u w:val="single"/>
              </w:rPr>
              <w:t>-</w:t>
            </w:r>
            <w:r>
              <w:rPr>
                <w:color w:val="0000FF"/>
                <w:highlight w:val="none"/>
                <w:u w:val="single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highlight w:val="none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highlight w:val="none"/>
                      <w:u w:val="single"/>
                    </w:rPr>
                    <m:t>β</m:t>
                  </m:r>
                  <m:ctrlPr>
                    <w:rPr>
                      <w:rFonts w:ascii="Cambria Math" w:hAnsi="Cambria Math"/>
                      <w:i/>
                      <w:color w:val="0000FF"/>
                      <w:highlight w:val="none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highlight w:val="none"/>
                      <w:u w:val="single"/>
                    </w:rPr>
                    <m:t>offset</m:t>
                  </m:r>
                  <m:ctrlPr>
                    <w:rPr>
                      <w:rFonts w:ascii="Cambria Math" w:hAnsi="Cambria Math"/>
                      <w:i/>
                      <w:color w:val="0000FF"/>
                      <w:highlight w:val="none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highlight w:val="none"/>
                      <w:u w:val="single"/>
                    </w:rPr>
                    <m:t>PUSCH</m:t>
                  </m:r>
                  <m:ctrlPr>
                    <w:rPr>
                      <w:rFonts w:ascii="Cambria Math" w:hAnsi="Cambria Math"/>
                      <w:i/>
                      <w:color w:val="0000FF"/>
                      <w:highlight w:val="none"/>
                      <w:u w:val="single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color w:val="0000FF"/>
                  <w:highlight w:val="none"/>
                  <w:u w:val="single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highlight w:val="none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highlight w:val="none"/>
                      <w:u w:val="single"/>
                    </w:rPr>
                    <m:t>β</m:t>
                  </m:r>
                  <m:ctrlPr>
                    <w:rPr>
                      <w:rFonts w:ascii="Cambria Math" w:hAnsi="Cambria Math"/>
                      <w:i/>
                      <w:color w:val="0000FF"/>
                      <w:highlight w:val="none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highlight w:val="none"/>
                      <w:u w:val="single"/>
                    </w:rPr>
                    <m:t>offset</m:t>
                  </m:r>
                  <m:ctrlPr>
                    <w:rPr>
                      <w:rFonts w:ascii="Cambria Math" w:hAnsi="Cambria Math"/>
                      <w:i/>
                      <w:color w:val="0000FF"/>
                      <w:highlight w:val="none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highlight w:val="none"/>
                      <w:u w:val="single"/>
                    </w:rPr>
                    <m:t>UTO−UCI</m:t>
                  </m:r>
                  <m:ctrlPr>
                    <w:rPr>
                      <w:rFonts w:ascii="Cambria Math" w:hAnsi="Cambria Math"/>
                      <w:i/>
                      <w:color w:val="0000FF"/>
                      <w:highlight w:val="none"/>
                      <w:u w:val="single"/>
                    </w:rPr>
                  </m:ctrlPr>
                </m:sup>
              </m:sSubSup>
            </m:oMath>
            <w:r>
              <w:rPr>
                <w:rFonts w:hint="eastAsia"/>
                <w:color w:val="0000FF"/>
                <w:highlight w:val="none"/>
                <w:u w:val="single"/>
              </w:rPr>
              <w:t>;</w:t>
            </w:r>
          </w:p>
          <w:p>
            <w:pPr>
              <w:spacing w:before="120" w:after="120"/>
              <w:ind w:left="568" w:hanging="284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-</w:t>
            </w:r>
            <w:r>
              <w:rPr>
                <w:color w:val="0000FF"/>
                <w:u w:val="single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C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UL−SCH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</m:sSub>
            </m:oMath>
            <w:r>
              <w:rPr>
                <w:rFonts w:hint="eastAsia"/>
                <w:color w:val="0000FF"/>
                <w:u w:val="single"/>
              </w:rPr>
              <w:t xml:space="preserve"> is the number of code blocks for UL-SCH of the PUSCH transmission;</w:t>
            </w:r>
          </w:p>
          <w:p>
            <w:pPr>
              <w:spacing w:before="120" w:after="120"/>
              <w:ind w:left="568" w:hanging="284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-</w:t>
            </w:r>
            <w:r>
              <w:rPr>
                <w:color w:val="0000FF"/>
                <w:u w:val="single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</m:sSub>
            </m:oMath>
            <w:r>
              <w:rPr>
                <w:rFonts w:hint="eastAsia"/>
                <w:color w:val="0000FF"/>
                <w:u w:val="single"/>
              </w:rPr>
              <w:t xml:space="preserve"> is the </w:t>
            </w:r>
            <w:r>
              <w:rPr>
                <w:i/>
                <w:color w:val="0000FF"/>
                <w:u w:val="single"/>
              </w:rPr>
              <w:t>r</w:t>
            </w:r>
            <w:r>
              <w:rPr>
                <w:rFonts w:hint="eastAsia"/>
                <w:color w:val="0000FF"/>
                <w:u w:val="single"/>
              </w:rPr>
              <w:t>-th code block size for UL-SCH of the PUSCH transmission;</w:t>
            </w:r>
          </w:p>
          <w:p>
            <w:pPr>
              <w:spacing w:before="120" w:after="120"/>
              <w:ind w:left="568" w:hanging="284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-</w:t>
            </w:r>
            <w:r>
              <w:rPr>
                <w:color w:val="0000FF"/>
                <w:u w:val="single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M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sc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PUSCH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up>
              </m:sSubSup>
            </m:oMath>
            <w:r>
              <w:rPr>
                <w:rFonts w:hint="eastAsia"/>
                <w:color w:val="0000FF"/>
                <w:u w:val="single"/>
              </w:rPr>
              <w:t xml:space="preserve"> </w:t>
            </w:r>
            <w:r>
              <w:rPr>
                <w:color w:val="0000FF"/>
                <w:u w:val="single"/>
              </w:rPr>
              <w:t xml:space="preserve">is the scheduled bandwidth </w:t>
            </w:r>
            <w:r>
              <w:rPr>
                <w:rFonts w:hint="eastAsia"/>
                <w:color w:val="0000FF"/>
                <w:u w:val="single"/>
              </w:rPr>
              <w:t>of the</w:t>
            </w:r>
            <w:r>
              <w:rPr>
                <w:color w:val="0000FF"/>
                <w:u w:val="single"/>
              </w:rPr>
              <w:t xml:space="preserve"> PUSCH transmission, expressed as a number of subcarriers</w:t>
            </w:r>
            <w:r>
              <w:rPr>
                <w:rFonts w:hint="eastAsia"/>
                <w:color w:val="0000FF"/>
                <w:u w:val="single"/>
              </w:rPr>
              <w:t>;</w:t>
            </w:r>
          </w:p>
          <w:p>
            <w:pPr>
              <w:spacing w:before="120" w:after="120"/>
              <w:ind w:left="568" w:hanging="284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-</w:t>
            </w:r>
            <w:r>
              <w:rPr>
                <w:color w:val="0000FF"/>
                <w:u w:val="single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M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sc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PT−RS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</m:d>
            </m:oMath>
            <w:r>
              <w:rPr>
                <w:rFonts w:hint="eastAsia"/>
                <w:color w:val="0000FF"/>
                <w:u w:val="single"/>
              </w:rPr>
              <w:t xml:space="preserve"> </w:t>
            </w:r>
            <w:r>
              <w:rPr>
                <w:color w:val="0000FF"/>
                <w:u w:val="single"/>
              </w:rPr>
              <w:t xml:space="preserve">is the </w:t>
            </w:r>
            <w:r>
              <w:rPr>
                <w:rFonts w:hint="eastAsia"/>
                <w:color w:val="0000FF"/>
                <w:u w:val="single"/>
              </w:rPr>
              <w:t>number of subcarriers in OFDM symbol</w:t>
            </w:r>
            <w:r>
              <w:rPr>
                <w:color w:val="0000FF"/>
                <w:u w:val="single"/>
              </w:rPr>
              <w:t xml:space="preserve"> </w:t>
            </w:r>
            <w:r>
              <w:rPr>
                <w:i/>
                <w:color w:val="0000FF"/>
                <w:u w:val="single"/>
              </w:rPr>
              <w:t>l</w:t>
            </w:r>
            <w:r>
              <w:rPr>
                <w:rFonts w:hint="eastAsia"/>
                <w:color w:val="0000FF"/>
                <w:u w:val="single"/>
              </w:rPr>
              <w:t xml:space="preserve"> that carries PTRS, in the PUSCH transmission;</w:t>
            </w:r>
          </w:p>
          <w:p>
            <w:pPr>
              <w:spacing w:before="120" w:after="120"/>
              <w:ind w:left="568" w:hanging="284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-</w:t>
            </w:r>
            <w:r>
              <w:rPr>
                <w:color w:val="0000FF"/>
                <w:u w:val="single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sc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UCI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</m:d>
            </m:oMath>
            <w:r>
              <w:rPr>
                <w:rFonts w:hint="eastAsia"/>
                <w:color w:val="0000FF"/>
                <w:u w:val="single"/>
              </w:rPr>
              <w:t xml:space="preserve"> is the number of </w:t>
            </w:r>
            <w:r>
              <w:rPr>
                <w:color w:val="0000FF"/>
                <w:u w:val="single"/>
              </w:rPr>
              <w:t xml:space="preserve">resource </w:t>
            </w:r>
            <w:r>
              <w:rPr>
                <w:rFonts w:hint="eastAsia"/>
                <w:color w:val="0000FF"/>
                <w:u w:val="single"/>
              </w:rPr>
              <w:t xml:space="preserve">elements that can be used for transmission of UCI in OFDM symbol </w:t>
            </w:r>
            <w:r>
              <w:rPr>
                <w:i/>
                <w:color w:val="0000FF"/>
                <w:u w:val="single"/>
              </w:rPr>
              <w:t>l</w:t>
            </w:r>
            <w:r>
              <w:rPr>
                <w:rFonts w:hint="eastAsia"/>
                <w:color w:val="0000FF"/>
                <w:u w:val="single"/>
              </w:rPr>
              <w:t xml:space="preserve">, for </w:t>
            </w:r>
            <m:oMath>
              <m:r>
                <m:rPr/>
                <w:rPr>
                  <w:rFonts w:ascii="Cambria Math" w:hAnsi="Cambria Math"/>
                  <w:color w:val="0000FF"/>
                  <w:u w:val="single"/>
                </w:rPr>
                <m:t>l</m:t>
              </m:r>
            </m:oMath>
            <w:r>
              <w:rPr>
                <w:color w:val="0000FF"/>
                <w:u w:val="single"/>
              </w:rPr>
              <w:t xml:space="preserve">=0,1,2,…,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symb,all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PUSCH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color w:val="0000FF"/>
                  <w:u w:val="single"/>
                </w:rPr>
                <m:t>−1</m:t>
              </m:r>
            </m:oMath>
            <w:r>
              <w:rPr>
                <w:rFonts w:hint="eastAsia"/>
                <w:color w:val="0000FF"/>
                <w:u w:val="single"/>
              </w:rPr>
              <w:t xml:space="preserve">, in the PUSCH transmission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symb,all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PUSCH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p>
              </m:sSubSup>
            </m:oMath>
            <w:r>
              <w:rPr>
                <w:rFonts w:hint="eastAsia"/>
                <w:color w:val="0000FF"/>
                <w:u w:val="single"/>
              </w:rPr>
              <w:t xml:space="preserve"> is the total number of OFDM symbols of the PUSCH, including all OFDM symbols used for DMRS;</w:t>
            </w:r>
          </w:p>
          <w:p>
            <w:pPr>
              <w:spacing w:before="120" w:after="120"/>
              <w:ind w:left="851" w:hanging="284"/>
              <w:rPr>
                <w:color w:val="0000FF"/>
                <w:u w:val="single"/>
              </w:rPr>
            </w:pPr>
            <w:r>
              <w:rPr>
                <w:rFonts w:hint="eastAsia"/>
                <w:color w:val="0000FF"/>
                <w:u w:val="single"/>
              </w:rPr>
              <w:t>-</w:t>
            </w:r>
            <w:r>
              <w:rPr>
                <w:rFonts w:hint="eastAsia"/>
                <w:color w:val="0000FF"/>
                <w:u w:val="single"/>
              </w:rPr>
              <w:tab/>
            </w:r>
            <w:r>
              <w:rPr>
                <w:rFonts w:hint="eastAsia"/>
                <w:color w:val="0000FF"/>
                <w:u w:val="single"/>
              </w:rPr>
              <w:t xml:space="preserve">for any OFDM symbol that carries DMRS of the PUSCH,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sc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UCI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</m:d>
              <m:r>
                <m:rPr/>
                <w:rPr>
                  <w:rFonts w:ascii="Cambria Math" w:hAnsi="Cambria Math"/>
                  <w:color w:val="0000FF"/>
                  <w:u w:val="single"/>
                </w:rPr>
                <m:t>=0</m:t>
              </m:r>
            </m:oMath>
            <w:r>
              <w:rPr>
                <w:rFonts w:hint="eastAsia"/>
                <w:color w:val="0000FF"/>
                <w:u w:val="single"/>
              </w:rPr>
              <w:t>;</w:t>
            </w:r>
          </w:p>
          <w:p>
            <w:pPr>
              <w:spacing w:before="120" w:after="120"/>
              <w:ind w:left="851" w:hanging="284"/>
              <w:rPr>
                <w:color w:val="0000FF"/>
                <w:u w:val="single"/>
              </w:rPr>
            </w:pPr>
            <w:r>
              <w:rPr>
                <w:rFonts w:hint="eastAsia"/>
                <w:color w:val="0000FF"/>
                <w:u w:val="single"/>
              </w:rPr>
              <w:t>-</w:t>
            </w:r>
            <w:r>
              <w:rPr>
                <w:rFonts w:hint="eastAsia"/>
                <w:color w:val="0000FF"/>
                <w:u w:val="single"/>
              </w:rPr>
              <w:tab/>
            </w:r>
            <w:r>
              <w:rPr>
                <w:rFonts w:hint="eastAsia"/>
                <w:color w:val="0000FF"/>
                <w:u w:val="single"/>
              </w:rPr>
              <w:t xml:space="preserve">for any OFDM symbol that does not carry DMRS of the PUSCH,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sc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UCI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</m:d>
              <m:r>
                <m:rPr/>
                <w:rPr>
                  <w:rFonts w:ascii="Cambria Math" w:hAnsi="Cambria Math"/>
                  <w:color w:val="0000FF"/>
                  <w:u w:val="single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M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sc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PUSCH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up>
              </m:sSubSup>
              <m:r>
                <m:rPr/>
                <w:rPr>
                  <w:rFonts w:ascii="Cambria Math" w:hAnsi="Cambria Math" w:cs="MS Gothic"/>
                  <w:color w:val="0000FF"/>
                  <w:u w:val="single"/>
                </w:rPr>
                <m:t>−</m:t>
              </m:r>
              <m:r>
                <m:rPr/>
                <w:rPr>
                  <w:rFonts w:ascii="Cambria Math" w:hAnsi="Cambria Math"/>
                  <w:color w:val="0000FF"/>
                  <w:u w:val="single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M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sc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PT−RS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</m:d>
            </m:oMath>
            <w:r>
              <w:rPr>
                <w:rFonts w:hint="eastAsia"/>
                <w:color w:val="0000FF"/>
                <w:u w:val="single"/>
              </w:rPr>
              <w:t>;</w:t>
            </w:r>
          </w:p>
          <w:p>
            <w:pPr>
              <w:spacing w:before="120" w:after="120"/>
              <w:ind w:left="568" w:hanging="284"/>
              <w:rPr>
                <w:color w:val="0000FF"/>
                <w:u w:val="single"/>
              </w:rPr>
            </w:pPr>
            <w:r>
              <w:rPr>
                <w:rFonts w:hint="eastAsia"/>
                <w:color w:val="0000FF"/>
                <w:u w:val="single"/>
              </w:rPr>
              <w:t>-</w:t>
            </w:r>
            <w:r>
              <w:rPr>
                <w:rFonts w:hint="eastAsia"/>
                <w:color w:val="0000FF"/>
                <w:u w:val="single"/>
              </w:rPr>
              <w:tab/>
            </w:r>
            <m:oMath>
              <m:r>
                <m:rPr/>
                <w:rPr>
                  <w:rFonts w:ascii="Cambria Math" w:hAnsi="Cambria Math"/>
                  <w:color w:val="0000FF"/>
                  <w:u w:val="single"/>
                </w:rPr>
                <m:t>α</m:t>
              </m:r>
            </m:oMath>
            <w:r>
              <w:rPr>
                <w:color w:val="0000FF"/>
                <w:u w:val="single"/>
              </w:rPr>
              <w:t xml:space="preserve"> </w:t>
            </w:r>
            <w:r>
              <w:rPr>
                <w:rFonts w:hint="eastAsia"/>
                <w:color w:val="0000FF"/>
                <w:u w:val="single"/>
              </w:rPr>
              <w:t xml:space="preserve">is configured by higher layer parameter </w:t>
            </w:r>
            <w:r>
              <w:rPr>
                <w:i/>
                <w:color w:val="0000FF"/>
                <w:u w:val="single"/>
              </w:rPr>
              <w:t>scaling</w:t>
            </w:r>
            <w:r>
              <w:rPr>
                <w:rFonts w:hint="eastAsia"/>
                <w:color w:val="0000FF"/>
                <w:u w:val="single"/>
              </w:rPr>
              <w:t>;</w:t>
            </w:r>
          </w:p>
          <w:p>
            <w:pPr>
              <w:spacing w:before="120" w:after="120"/>
              <w:ind w:left="568" w:hanging="284"/>
              <w:rPr>
                <w:rFonts w:hAnsi="Cambria Math"/>
              </w:rPr>
            </w:pPr>
            <w:r>
              <w:rPr>
                <w:rFonts w:hint="eastAsia"/>
                <w:color w:val="0000FF"/>
                <w:u w:val="single"/>
              </w:rPr>
              <w:t>-</w:t>
            </w:r>
            <w:r>
              <w:rPr>
                <w:rFonts w:hint="eastAsia"/>
                <w:color w:val="0000FF"/>
                <w:u w:val="single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l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0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ub>
              </m:sSub>
            </m:oMath>
            <w:r>
              <w:rPr>
                <w:rFonts w:hint="eastAsia"/>
                <w:color w:val="0000FF"/>
                <w:u w:val="single"/>
              </w:rPr>
              <w:t xml:space="preserve"> is the symbol index of the first OFDM symbol that does not carry DMRS of the PUSCH, after the first DMRS symbol(s), in the PUSCH transmission.</w:t>
            </w:r>
          </w:p>
          <w:p>
            <w:pPr>
              <w:spacing w:before="120" w:after="120"/>
              <w:rPr>
                <w:color w:val="0000FF"/>
                <w:u w:val="single"/>
              </w:rPr>
            </w:pPr>
          </w:p>
          <w:p>
            <w:pPr>
              <w:spacing w:before="120" w:after="120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 xml:space="preserve">The input bit sequence to rate matching is </w:t>
            </w:r>
            <m:oMath>
              <m:sSub>
                <m:sSubP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d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0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ub>
              </m:sSub>
              <m:r>
                <m:rPr/>
                <w:rPr>
                  <w:rFonts w:ascii="Cambria Math" w:hAnsi="Cambria Math"/>
                  <w:color w:val="0000FF"/>
                  <w:u w:val="single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/>
                  <w:color w:val="0000FF"/>
                  <w:u w:val="single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d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1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ub>
              </m:sSub>
              <m:r>
                <m:rPr/>
                <w:rPr>
                  <w:rFonts w:ascii="Cambria Math" w:hAnsi="Cambria Math"/>
                  <w:color w:val="0000FF"/>
                  <w:u w:val="single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d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2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ub>
              </m:sSub>
              <m:r>
                <m:rPr/>
                <w:rPr>
                  <w:rFonts w:ascii="Cambria Math" w:hAnsi="Cambria Math"/>
                  <w:color w:val="0000FF"/>
                  <w:u w:val="single"/>
                </w:rPr>
                <m:t xml:space="preserve">, …, </m:t>
              </m:r>
              <m:sSub>
                <m:sSubP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d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N−1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ub>
              </m:sSub>
            </m:oMath>
            <w:r>
              <w:rPr>
                <w:color w:val="0000FF"/>
                <w:u w:val="single"/>
              </w:rPr>
              <w:t>.</w:t>
            </w:r>
          </w:p>
          <w:p>
            <w:pPr>
              <w:spacing w:before="120" w:after="120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 xml:space="preserve">Rate matching is performed according to Clause 5.4.3, by setting the rate matching output sequence length </w:t>
            </w:r>
          </w:p>
          <w:p>
            <w:pPr>
              <w:spacing w:before="120" w:after="120"/>
              <w:rPr>
                <w:color w:val="0000FF"/>
                <w:u w:val="single"/>
              </w:rPr>
            </w:pPr>
            <m:oMath>
              <m:r>
                <m:rPr/>
                <w:rPr>
                  <w:rFonts w:ascii="Cambria Math" w:hAnsi="Cambria Math"/>
                  <w:color w:val="0000FF"/>
                  <w:u w:val="single"/>
                </w:rPr>
                <m:t>E=</m:t>
              </m:r>
              <m:sSub>
                <m:sSubP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N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L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ub>
              </m:sSub>
              <m:r>
                <m:rPr/>
                <w:rPr>
                  <w:rFonts w:ascii="Cambria Math" w:hAnsi="Cambria Math"/>
                  <w:color w:val="0000FF"/>
                  <w:u w:val="single"/>
                </w:rPr>
                <m:t>∙</m:t>
              </m:r>
              <m:sSubSup>
                <m:sSubSupP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Q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/>
                      <w:color w:val="0000FF"/>
                      <w:u w:val="single"/>
                      <w:lang w:val="en-US" w:eastAsia="zh-CN"/>
                    </w:rPr>
                    <m:t>UTO</m:t>
                  </m:r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−UCI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ub>
                <m:sup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'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color w:val="0000FF"/>
                  <w:u w:val="single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Q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</m:sSub>
            </m:oMath>
            <w:r>
              <w:rPr>
                <w:color w:val="0000FF"/>
                <w:u w:val="single"/>
              </w:rPr>
              <w:t>, where</w:t>
            </w:r>
          </w:p>
          <w:p>
            <w:pPr>
              <w:pStyle w:val="64"/>
              <w:spacing w:before="120" w:after="120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-</w:t>
            </w:r>
            <w:r>
              <w:rPr>
                <w:color w:val="0000FF"/>
                <w:u w:val="single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</m:sSub>
            </m:oMath>
            <w:r>
              <w:rPr>
                <w:color w:val="0000FF"/>
                <w:u w:val="single"/>
              </w:rPr>
              <w:t xml:space="preserve"> is the number of transmission layers of the PUSCH;</w:t>
            </w:r>
          </w:p>
          <w:p>
            <w:pPr>
              <w:pStyle w:val="64"/>
              <w:spacing w:before="120" w:after="120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-</w:t>
            </w:r>
            <w:r>
              <w:rPr>
                <w:color w:val="0000FF"/>
                <w:u w:val="single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Q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</m:sSub>
            </m:oMath>
            <w:r>
              <w:rPr>
                <w:color w:val="0000FF"/>
                <w:u w:val="single"/>
              </w:rPr>
              <w:t xml:space="preserve"> is the modulation order of the PUSCH.</w:t>
            </w:r>
          </w:p>
          <w:p>
            <w:pPr>
              <w:spacing w:before="120" w:after="120"/>
            </w:pPr>
            <w:r>
              <w:rPr>
                <w:color w:val="0000FF"/>
                <w:u w:val="single"/>
              </w:rPr>
              <w:t xml:space="preserve">The output bit sequence after rate matching is denoted as </w:t>
            </w:r>
            <m:oMath>
              <m:sSub>
                <m:sSubP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f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0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ub>
              </m:sSub>
              <m:r>
                <m:rPr/>
                <w:rPr>
                  <w:rFonts w:ascii="Cambria Math" w:hAnsi="Cambria Math"/>
                  <w:color w:val="0000FF"/>
                  <w:u w:val="single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/>
                  <w:color w:val="0000FF"/>
                  <w:u w:val="single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f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1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ub>
              </m:sSub>
              <m:r>
                <m:rPr/>
                <w:rPr>
                  <w:rFonts w:ascii="Cambria Math" w:hAnsi="Cambria Math"/>
                  <w:color w:val="0000FF"/>
                  <w:u w:val="single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f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2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ub>
              </m:sSub>
              <m:r>
                <m:rPr/>
                <w:rPr>
                  <w:rFonts w:ascii="Cambria Math" w:hAnsi="Cambria Math"/>
                  <w:color w:val="0000FF"/>
                  <w:u w:val="single"/>
                </w:rPr>
                <m:t xml:space="preserve">, …, </m:t>
              </m:r>
              <m:sSub>
                <m:sSubP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f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E−1</m:t>
                  </m:r>
                  <m:ctrlPr>
                    <w:rPr>
                      <w:rFonts w:ascii="Cambria Math" w:hAnsi="Cambria Math"/>
                      <w:color w:val="0000FF"/>
                      <w:u w:val="single"/>
                    </w:rPr>
                  </m:ctrlPr>
                </m:sub>
              </m:sSub>
            </m:oMath>
            <w:r>
              <w:rPr>
                <w:color w:val="0000FF"/>
                <w:u w:val="single"/>
              </w:rPr>
              <w:t>.</w:t>
            </w:r>
          </w:p>
        </w:tc>
      </w:tr>
    </w:tbl>
    <w:p>
      <w:pPr>
        <w:pStyle w:val="37"/>
        <w:numPr>
          <w:ilvl w:val="0"/>
          <w:numId w:val="0"/>
        </w:numPr>
        <w:spacing w:before="120" w:after="120"/>
      </w:pPr>
    </w:p>
    <w:p>
      <w:pPr>
        <w:pStyle w:val="37"/>
        <w:numPr>
          <w:ilvl w:val="0"/>
          <w:numId w:val="0"/>
        </w:numPr>
        <w:spacing w:before="120" w:after="120"/>
      </w:pPr>
    </w:p>
    <w:p>
      <w:pPr>
        <w:pStyle w:val="3"/>
        <w:numPr>
          <w:ilvl w:val="1"/>
          <w:numId w:val="0"/>
        </w:numPr>
        <w:spacing w:before="120" w:after="120"/>
        <w:ind w:left="-319" w:leftChars="-152" w:right="210" w:rightChars="100" w:firstLine="420" w:firstLineChars="0"/>
        <w:rPr>
          <w:rFonts w:hint="default"/>
          <w:lang w:val="en-US"/>
        </w:rPr>
      </w:pPr>
      <w:r>
        <w:rPr>
          <w:rFonts w:hint="eastAsia"/>
          <w:lang w:val="en-US" w:eastAsia="zh-CN"/>
        </w:rPr>
        <w:t>TP#3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spacing w:before="120" w:after="120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TP#3</w:t>
            </w:r>
          </w:p>
          <w:p>
            <w:pPr>
              <w:keepNext/>
              <w:keepLines/>
              <w:spacing w:before="120" w:after="120"/>
              <w:ind w:left="1701" w:hanging="1701"/>
              <w:outlineLvl w:val="4"/>
              <w:rPr>
                <w:rFonts w:ascii="Arial" w:hAnsi="Arial"/>
                <w:sz w:val="22"/>
              </w:rPr>
            </w:pPr>
            <w:bookmarkStart w:id="37" w:name="_Toc129874496"/>
            <w:r>
              <w:rPr>
                <w:rFonts w:hint="eastAsia" w:ascii="Arial" w:hAnsi="Arial"/>
                <w:sz w:val="22"/>
              </w:rPr>
              <w:t>6.3.2.4.1</w:t>
            </w:r>
            <w:r>
              <w:rPr>
                <w:rFonts w:hint="eastAsia" w:ascii="Arial" w:hAnsi="Arial"/>
                <w:sz w:val="22"/>
              </w:rPr>
              <w:tab/>
            </w:r>
            <w:r>
              <w:rPr>
                <w:rFonts w:hint="eastAsia" w:ascii="Arial" w:hAnsi="Arial"/>
                <w:sz w:val="22"/>
              </w:rPr>
              <w:t>UCI encoded by Polar code</w:t>
            </w:r>
          </w:p>
          <w:p>
            <w:pPr>
              <w:spacing w:before="120" w:after="120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&lt; Unchanged parts are omitted &gt;</w:t>
            </w:r>
          </w:p>
          <w:p>
            <w:pPr>
              <w:keepNext/>
              <w:keepLines/>
              <w:spacing w:before="120" w:after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>
              <w:rPr>
                <w:rFonts w:hint="eastAsia" w:ascii="Arial" w:hAnsi="Arial"/>
                <w:sz w:val="22"/>
              </w:rPr>
              <w:t>6.3.2.4.1.6</w:t>
            </w:r>
            <w:r>
              <w:rPr>
                <w:rFonts w:hint="eastAsia" w:ascii="Arial" w:hAnsi="Arial"/>
                <w:sz w:val="22"/>
              </w:rPr>
              <w:tab/>
            </w:r>
            <w:r>
              <w:rPr>
                <w:rFonts w:hint="eastAsia" w:ascii="Arial" w:hAnsi="Arial"/>
                <w:sz w:val="22"/>
              </w:rPr>
              <w:t>UCI with different priority indexes</w:t>
            </w:r>
            <w:bookmarkEnd w:id="37"/>
          </w:p>
          <w:p>
            <w:pPr>
              <w:spacing w:before="120" w:after="1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&lt; Unchanged parts are omitted &gt;</w:t>
            </w:r>
          </w:p>
          <w:p>
            <w:pPr>
              <w:spacing w:before="120" w:after="120"/>
              <w:rPr>
                <w:color w:val="0000FF"/>
                <w:u w:val="single"/>
              </w:rPr>
            </w:pPr>
            <w:r>
              <w:rPr>
                <w:rFonts w:hint="eastAsia"/>
                <w:color w:val="0000FF"/>
                <w:u w:val="single"/>
              </w:rPr>
              <w:t xml:space="preserve">If </w:t>
            </w:r>
            <w:r>
              <w:rPr>
                <w:i/>
                <w:iCs/>
                <w:color w:val="0000FF"/>
                <w:u w:val="single"/>
              </w:rPr>
              <w:t>uci-MuxWithDiffPrio</w:t>
            </w:r>
            <w:r>
              <w:rPr>
                <w:rFonts w:cs="Arial"/>
                <w:i/>
                <w:color w:val="0000FF"/>
                <w:u w:val="single"/>
              </w:rPr>
              <w:t xml:space="preserve"> </w:t>
            </w:r>
            <w:r>
              <w:rPr>
                <w:rFonts w:cs="Arial"/>
                <w:color w:val="0000FF"/>
                <w:u w:val="single"/>
              </w:rPr>
              <w:t>is configured,</w:t>
            </w:r>
            <w:r>
              <w:rPr>
                <w:color w:val="0000FF"/>
                <w:u w:val="single"/>
              </w:rPr>
              <w:t xml:space="preserve"> and HARQ-ACK bits associated with priority index 0, HARQ-ACK bits associated with priority index 1 and/or </w:t>
            </w:r>
            <w:r>
              <w:rPr>
                <w:rFonts w:hint="eastAsia"/>
                <w:color w:val="0000FF"/>
                <w:u w:val="single"/>
              </w:rPr>
              <w:t>UTO-UCI</w:t>
            </w:r>
            <w:r>
              <w:rPr>
                <w:color w:val="0000FF"/>
                <w:u w:val="single"/>
              </w:rPr>
              <w:t xml:space="preserve"> associated with priority index 1, and CSI part 1 if any</w:t>
            </w:r>
            <w:r>
              <w:rPr>
                <w:rFonts w:hint="eastAsia"/>
                <w:color w:val="0000FF"/>
                <w:u w:val="single"/>
              </w:rPr>
              <w:t xml:space="preserve"> are transmitted on a PUSCH</w:t>
            </w:r>
            <w:r>
              <w:rPr>
                <w:color w:val="0000FF"/>
                <w:u w:val="single"/>
              </w:rPr>
              <w:t>:</w:t>
            </w:r>
            <w:r>
              <w:rPr>
                <w:rFonts w:hint="eastAsia"/>
                <w:color w:val="0000FF"/>
                <w:u w:val="single"/>
              </w:rPr>
              <w:t xml:space="preserve"> </w:t>
            </w:r>
          </w:p>
          <w:p>
            <w:pPr>
              <w:pStyle w:val="64"/>
              <w:spacing w:before="120" w:after="120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-</w:t>
            </w:r>
            <w:r>
              <w:rPr>
                <w:color w:val="0000FF"/>
                <w:u w:val="single"/>
              </w:rPr>
              <w:tab/>
            </w:r>
            <w:r>
              <w:rPr>
                <w:color w:val="0000FF"/>
                <w:u w:val="single"/>
              </w:rPr>
              <w:t xml:space="preserve">Perform rate matching for HARQ-ACK with priority index 1 according to clause 6.3.2.4.1.1, by taking HARQ-ACK with priority index 1 as HARQ-ACK and replacing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β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offset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PUSCH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p>
              </m:sSubSup>
            </m:oMath>
            <w:r>
              <w:rPr>
                <w:color w:val="0000FF"/>
                <w:u w:val="single"/>
              </w:rPr>
              <w:t xml:space="preserve"> by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β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offset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HARQ−ACK−HP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p>
              </m:sSubSup>
            </m:oMath>
            <w:r>
              <w:rPr>
                <w:color w:val="0000FF"/>
                <w:u w:val="single"/>
              </w:rPr>
              <w:t>.</w:t>
            </w:r>
          </w:p>
          <w:p>
            <w:pPr>
              <w:pStyle w:val="64"/>
              <w:spacing w:before="120" w:after="120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-</w:t>
            </w:r>
            <w:r>
              <w:rPr>
                <w:color w:val="0000FF"/>
                <w:u w:val="single"/>
              </w:rPr>
              <w:tab/>
            </w:r>
            <w:r>
              <w:rPr>
                <w:color w:val="0000FF"/>
                <w:u w:val="single"/>
              </w:rPr>
              <w:t>Perform rate matching for</w:t>
            </w:r>
            <w:r>
              <w:rPr>
                <w:rFonts w:hint="eastAsia"/>
                <w:color w:val="0000FF"/>
                <w:u w:val="single"/>
              </w:rPr>
              <w:t xml:space="preserve"> UTO-UCI</w:t>
            </w:r>
            <w:r>
              <w:rPr>
                <w:color w:val="0000FF"/>
                <w:u w:val="single"/>
              </w:rPr>
              <w:t xml:space="preserve"> with priority index 1 and HARQ-ACK with priority index 1 according to clause 6.3.2.4.1.5</w:t>
            </w:r>
            <w:r>
              <w:rPr>
                <w:rFonts w:hint="eastAsia"/>
                <w:color w:val="0000FF"/>
                <w:u w:val="single"/>
              </w:rPr>
              <w:t>,</w:t>
            </w:r>
            <w:r>
              <w:rPr>
                <w:color w:val="0000FF"/>
                <w:u w:val="single"/>
              </w:rPr>
              <w:t xml:space="preserve"> if </w:t>
            </w:r>
            <w:r>
              <w:rPr>
                <w:rFonts w:cs="Arial"/>
                <w:color w:val="0000FF"/>
                <w:u w:val="single"/>
              </w:rPr>
              <w:t xml:space="preserve">both </w:t>
            </w:r>
            <w:r>
              <w:rPr>
                <w:rFonts w:hint="eastAsia"/>
                <w:color w:val="0000FF"/>
                <w:u w:val="single"/>
              </w:rPr>
              <w:t>UTO-UCI</w:t>
            </w:r>
            <w:r>
              <w:rPr>
                <w:color w:val="0000FF"/>
                <w:u w:val="single"/>
              </w:rPr>
              <w:t xml:space="preserve"> associated with priority index 1 and HARQ-ACK bits associated with priority index 1 are transmitted, by taking </w:t>
            </w:r>
            <w:r>
              <w:rPr>
                <w:rFonts w:hint="eastAsia"/>
                <w:color w:val="0000FF"/>
                <w:u w:val="single"/>
              </w:rPr>
              <w:t>UTO-UCI</w:t>
            </w:r>
            <w:r>
              <w:rPr>
                <w:color w:val="0000FF"/>
                <w:u w:val="single"/>
              </w:rPr>
              <w:t xml:space="preserve"> associated with priority index 1 and</w:t>
            </w:r>
            <w:r>
              <w:rPr>
                <w:rFonts w:hint="eastAsia"/>
                <w:color w:val="0000FF"/>
                <w:u w:val="single"/>
                <w:lang w:val="en-US" w:eastAsia="zh-CN"/>
              </w:rPr>
              <w:t xml:space="preserve"> </w:t>
            </w:r>
            <w:r>
              <w:rPr>
                <w:color w:val="0000FF"/>
                <w:u w:val="single"/>
              </w:rPr>
              <w:t xml:space="preserve">HARQ-ACK with priority index 1 as HARQ-ACK and replacing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β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offset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PUSCH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p>
              </m:sSubSup>
            </m:oMath>
            <w:r>
              <w:rPr>
                <w:color w:val="0000FF"/>
                <w:u w:val="single"/>
              </w:rPr>
              <w:t xml:space="preserve"> by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β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offset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HARQ−ACK−HP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p>
              </m:sSubSup>
            </m:oMath>
            <w:r>
              <w:rPr>
                <w:color w:val="0000FF"/>
                <w:u w:val="single"/>
              </w:rPr>
              <w:t>.</w:t>
            </w:r>
          </w:p>
          <w:p>
            <w:pPr>
              <w:pStyle w:val="64"/>
              <w:spacing w:before="120" w:after="120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-</w:t>
            </w:r>
            <w:r>
              <w:rPr>
                <w:color w:val="0000FF"/>
                <w:u w:val="single"/>
              </w:rPr>
              <w:tab/>
            </w:r>
            <w:r>
              <w:rPr>
                <w:color w:val="0000FF"/>
                <w:u w:val="single"/>
              </w:rPr>
              <w:t>If CSI part 1 is also transmitted on the PUSCH and the PUSCH is associated with priority index 1,</w:t>
            </w:r>
          </w:p>
          <w:p>
            <w:pPr>
              <w:pStyle w:val="65"/>
              <w:spacing w:before="120" w:after="120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-</w:t>
            </w:r>
            <w:r>
              <w:rPr>
                <w:color w:val="0000FF"/>
                <w:u w:val="single"/>
              </w:rPr>
              <w:tab/>
            </w:r>
            <w:r>
              <w:rPr>
                <w:color w:val="0000FF"/>
                <w:u w:val="single"/>
              </w:rPr>
              <w:t xml:space="preserve">Perform rate matching for CSI part 1 according to clause 6.3.2.4.1.2, by taking HARQ-ACK with priority index 1 if any as HARQ-ACK, and taking </w:t>
            </w:r>
            <w:r>
              <w:rPr>
                <w:rFonts w:hint="eastAsia"/>
                <w:color w:val="0000FF"/>
                <w:u w:val="single"/>
                <w:lang w:val="en-US" w:eastAsia="zh-CN"/>
              </w:rPr>
              <w:t>UTO</w:t>
            </w:r>
            <w:r>
              <w:rPr>
                <w:color w:val="0000FF"/>
                <w:u w:val="single"/>
              </w:rPr>
              <w:t xml:space="preserve">-UCI associated with priority index 1 if any as </w:t>
            </w:r>
            <w:r>
              <w:rPr>
                <w:rFonts w:hint="eastAsia"/>
                <w:color w:val="0000FF"/>
                <w:u w:val="single"/>
                <w:lang w:val="en-US" w:eastAsia="zh-CN"/>
              </w:rPr>
              <w:t>UTO-</w:t>
            </w:r>
            <w:r>
              <w:rPr>
                <w:color w:val="0000FF"/>
                <w:u w:val="single"/>
              </w:rPr>
              <w:t>UCI</w:t>
            </w:r>
            <w:r>
              <w:rPr>
                <w:rFonts w:hint="eastAsia"/>
                <w:color w:val="0000FF"/>
                <w:u w:val="single"/>
              </w:rPr>
              <w:t>.</w:t>
            </w:r>
          </w:p>
          <w:p>
            <w:pPr>
              <w:pStyle w:val="65"/>
              <w:spacing w:before="120" w:after="120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-</w:t>
            </w:r>
            <w:r>
              <w:rPr>
                <w:color w:val="0000FF"/>
                <w:u w:val="single"/>
              </w:rPr>
              <w:tab/>
            </w:r>
            <w:r>
              <w:rPr>
                <w:color w:val="0000FF"/>
                <w:u w:val="single"/>
              </w:rPr>
              <w:t xml:space="preserve">Perform rate matching for HARQ-ACK with priority index 0 according to clause 6.3.2.4.1.3, by taking HARQ-ACK with priority index 0 as CSI part 2 and replacing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β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offset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PUSCH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p>
              </m:sSubSup>
            </m:oMath>
            <w:r>
              <w:rPr>
                <w:color w:val="0000FF"/>
                <w:u w:val="single"/>
              </w:rPr>
              <w:t xml:space="preserve"> by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β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offset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HARQ−ACK−LP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p>
              </m:sSubSup>
            </m:oMath>
            <w:r>
              <w:rPr>
                <w:color w:val="0000FF"/>
                <w:u w:val="single"/>
              </w:rPr>
              <w:t>, and taking HARQ-ACK with priority index 1</w:t>
            </w:r>
            <w:r>
              <w:rPr>
                <w:rFonts w:hint="eastAsia"/>
                <w:color w:val="0000FF"/>
                <w:u w:val="single"/>
              </w:rPr>
              <w:t xml:space="preserve"> and/or UTO-UCI associated with priority index 1</w:t>
            </w:r>
            <w:r>
              <w:rPr>
                <w:color w:val="0000FF"/>
                <w:u w:val="single"/>
              </w:rPr>
              <w:t xml:space="preserve"> if any as HARQ-ACK.</w:t>
            </w:r>
          </w:p>
          <w:p>
            <w:pPr>
              <w:pStyle w:val="64"/>
              <w:spacing w:before="120" w:after="120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-</w:t>
            </w:r>
            <w:r>
              <w:rPr>
                <w:color w:val="0000FF"/>
                <w:u w:val="single"/>
              </w:rPr>
              <w:tab/>
            </w:r>
            <w:r>
              <w:rPr>
                <w:color w:val="0000FF"/>
                <w:u w:val="single"/>
              </w:rPr>
              <w:t>Otherwise,</w:t>
            </w:r>
          </w:p>
          <w:p>
            <w:pPr>
              <w:pStyle w:val="65"/>
              <w:spacing w:before="120" w:after="120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-</w:t>
            </w:r>
            <w:r>
              <w:rPr>
                <w:color w:val="0000FF"/>
                <w:u w:val="single"/>
              </w:rPr>
              <w:tab/>
            </w:r>
            <w:r>
              <w:rPr>
                <w:color w:val="0000FF"/>
                <w:u w:val="single"/>
              </w:rPr>
              <w:t xml:space="preserve">Perform rate matching for HARQ-ACK with priority index 0 according to clause 6.3.2.4.1.2, by taking HARQ-ACK with priority index 0 as </w:t>
            </w:r>
            <w:r>
              <w:rPr>
                <w:rFonts w:hint="eastAsia"/>
                <w:color w:val="0000FF"/>
                <w:u w:val="single"/>
              </w:rPr>
              <w:t>CSI-</w:t>
            </w:r>
            <w:r>
              <w:rPr>
                <w:color w:val="0000FF"/>
                <w:u w:val="single"/>
              </w:rPr>
              <w:t xml:space="preserve">part 1 and replacing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β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offset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PUSCH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p>
              </m:sSubSup>
            </m:oMath>
            <w:r>
              <w:rPr>
                <w:color w:val="0000FF"/>
                <w:u w:val="single"/>
              </w:rPr>
              <w:t xml:space="preserve"> by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β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offset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HARQ−ACK−LP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color w:val="0000FF"/>
                  <w:u w:val="single"/>
                </w:rPr>
                <m:t>,</m:t>
              </m:r>
            </m:oMath>
            <w:r>
              <w:rPr>
                <w:color w:val="0000FF"/>
                <w:u w:val="single"/>
              </w:rPr>
              <w:t xml:space="preserve"> and taking HARQ-ACK with priority index 1 </w:t>
            </w:r>
            <w:r>
              <w:rPr>
                <w:rFonts w:hint="eastAsia"/>
                <w:color w:val="0000FF"/>
                <w:u w:val="single"/>
              </w:rPr>
              <w:t xml:space="preserve">and UTO-UCI associated with priority index 1 </w:t>
            </w:r>
            <w:r>
              <w:rPr>
                <w:color w:val="0000FF"/>
                <w:u w:val="single"/>
              </w:rPr>
              <w:t>if any as HARQ-ACK</w:t>
            </w:r>
            <w:r>
              <w:rPr>
                <w:rFonts w:hint="eastAsia"/>
                <w:color w:val="0000FF"/>
                <w:u w:val="single"/>
              </w:rPr>
              <w:t>.</w:t>
            </w:r>
          </w:p>
          <w:p>
            <w:pPr>
              <w:pStyle w:val="65"/>
              <w:spacing w:before="120" w:after="120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-</w:t>
            </w:r>
            <w:r>
              <w:rPr>
                <w:color w:val="0000FF"/>
                <w:u w:val="single"/>
              </w:rPr>
              <w:tab/>
            </w:r>
            <w:r>
              <w:rPr>
                <w:color w:val="0000FF"/>
                <w:u w:val="single"/>
              </w:rPr>
              <w:t xml:space="preserve">Perform rate matching for CSI part 1 according to clause 6.3.2.4.1.3, by taking CSI part 1 as CSI part 2 and replacing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β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offset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PUSCH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p>
              </m:sSubSup>
            </m:oMath>
            <w:r>
              <w:rPr>
                <w:color w:val="0000FF"/>
                <w:u w:val="single"/>
              </w:rPr>
              <w:t xml:space="preserve"> by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β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offset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CSI−part1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p>
              </m:sSubSup>
            </m:oMath>
            <w:r>
              <w:rPr>
                <w:color w:val="0000FF"/>
                <w:u w:val="single"/>
              </w:rPr>
              <w:t xml:space="preserve">, taking HARQ-ACK with priority index 0 as </w:t>
            </w:r>
            <w:r>
              <w:rPr>
                <w:rFonts w:hint="eastAsia"/>
                <w:color w:val="0000FF"/>
                <w:u w:val="single"/>
              </w:rPr>
              <w:t>CSI-</w:t>
            </w:r>
            <w:r>
              <w:rPr>
                <w:color w:val="0000FF"/>
                <w:u w:val="single"/>
              </w:rPr>
              <w:t>part 1 and taking HARQ-ACK with priority index 1 as HARQ-ACK, if CSI part 1 is also</w:t>
            </w:r>
            <w:r>
              <w:rPr>
                <w:rFonts w:hint="eastAsia"/>
                <w:color w:val="0000FF"/>
                <w:u w:val="single"/>
              </w:rPr>
              <w:t xml:space="preserve"> transmitted on </w:t>
            </w:r>
            <w:r>
              <w:rPr>
                <w:color w:val="0000FF"/>
                <w:u w:val="single"/>
              </w:rPr>
              <w:t>the</w:t>
            </w:r>
            <w:r>
              <w:rPr>
                <w:rFonts w:hint="eastAsia"/>
                <w:color w:val="0000FF"/>
                <w:u w:val="single"/>
              </w:rPr>
              <w:t xml:space="preserve"> PUSCH</w:t>
            </w:r>
            <w:r>
              <w:rPr>
                <w:color w:val="0000FF"/>
                <w:u w:val="single"/>
              </w:rPr>
              <w:t xml:space="preserve"> and the PUSCH is associated with priority index 0.</w:t>
            </w:r>
          </w:p>
          <w:p>
            <w:pPr>
              <w:spacing w:before="120" w:after="120"/>
              <w:rPr>
                <w:color w:val="0000FF"/>
                <w:u w:val="single"/>
              </w:rPr>
            </w:pPr>
            <w:r>
              <w:rPr>
                <w:rFonts w:hint="eastAsia"/>
                <w:color w:val="0000FF"/>
                <w:u w:val="single"/>
              </w:rPr>
              <w:t xml:space="preserve">If </w:t>
            </w:r>
            <w:r>
              <w:rPr>
                <w:i/>
                <w:iCs/>
                <w:color w:val="0000FF"/>
                <w:u w:val="single"/>
              </w:rPr>
              <w:t>uci-MuxWithDiffPrio</w:t>
            </w:r>
            <w:r>
              <w:rPr>
                <w:rFonts w:cs="Arial"/>
                <w:i/>
                <w:color w:val="0000FF"/>
                <w:u w:val="single"/>
              </w:rPr>
              <w:t xml:space="preserve"> </w:t>
            </w:r>
            <w:r>
              <w:rPr>
                <w:rFonts w:cs="Arial"/>
                <w:color w:val="0000FF"/>
                <w:u w:val="single"/>
              </w:rPr>
              <w:t>is configured,</w:t>
            </w:r>
            <w:r>
              <w:rPr>
                <w:color w:val="0000FF"/>
                <w:u w:val="single"/>
              </w:rPr>
              <w:t xml:space="preserve"> and </w:t>
            </w:r>
            <w:r>
              <w:rPr>
                <w:rFonts w:hint="eastAsia"/>
                <w:color w:val="0000FF"/>
                <w:u w:val="single"/>
              </w:rPr>
              <w:t>UTO-UCI</w:t>
            </w:r>
            <w:r>
              <w:rPr>
                <w:color w:val="0000FF"/>
                <w:u w:val="single"/>
              </w:rPr>
              <w:t xml:space="preserve"> associated with priority index 0 and HARQ-ACK bits associated with priority index 0 if any, HARQ-ACK bits associated with priority index 1, and CSI part 1 if any</w:t>
            </w:r>
            <w:r>
              <w:rPr>
                <w:rFonts w:hint="eastAsia"/>
                <w:color w:val="0000FF"/>
                <w:u w:val="single"/>
              </w:rPr>
              <w:t xml:space="preserve"> are transmitted on a PUSCH</w:t>
            </w:r>
            <w:r>
              <w:rPr>
                <w:color w:val="0000FF"/>
                <w:u w:val="single"/>
              </w:rPr>
              <w:t xml:space="preserve"> associated with priority index 0:</w:t>
            </w:r>
          </w:p>
          <w:p>
            <w:pPr>
              <w:pStyle w:val="64"/>
              <w:spacing w:before="120" w:after="120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-</w:t>
            </w:r>
            <w:r>
              <w:rPr>
                <w:color w:val="0000FF"/>
                <w:u w:val="single"/>
              </w:rPr>
              <w:tab/>
            </w:r>
            <w:r>
              <w:rPr>
                <w:color w:val="0000FF"/>
                <w:u w:val="single"/>
              </w:rPr>
              <w:t xml:space="preserve">Perform rate matching for HARQ-ACK with priority index 1 according to clause 6.3.2.4.1.1, by taking HARQ-ACK with priority index 1 as HARQ-ACK and replacing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β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offset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PUSCH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p>
              </m:sSubSup>
            </m:oMath>
            <w:r>
              <w:rPr>
                <w:color w:val="0000FF"/>
                <w:u w:val="single"/>
              </w:rPr>
              <w:t xml:space="preserve"> by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β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offset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HARQ−ACK−HP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p>
              </m:sSubSup>
            </m:oMath>
            <w:r>
              <w:rPr>
                <w:color w:val="0000FF"/>
                <w:u w:val="single"/>
              </w:rPr>
              <w:t>.</w:t>
            </w:r>
          </w:p>
          <w:p>
            <w:pPr>
              <w:pStyle w:val="64"/>
              <w:spacing w:before="120" w:after="120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-</w:t>
            </w:r>
            <w:r>
              <w:rPr>
                <w:color w:val="0000FF"/>
                <w:u w:val="single"/>
              </w:rPr>
              <w:tab/>
            </w:r>
            <w:r>
              <w:rPr>
                <w:color w:val="0000FF"/>
                <w:u w:val="single"/>
              </w:rPr>
              <w:t xml:space="preserve">Perform rate matching for </w:t>
            </w:r>
            <w:r>
              <w:rPr>
                <w:rFonts w:hint="eastAsia"/>
                <w:color w:val="0000FF"/>
                <w:u w:val="single"/>
              </w:rPr>
              <w:t>UTO</w:t>
            </w:r>
            <w:r>
              <w:rPr>
                <w:color w:val="0000FF"/>
                <w:u w:val="single"/>
              </w:rPr>
              <w:t xml:space="preserve">-UCI associated with priority index 0 and HARQ-ACK bits associated with priority index 0 according to clause 6.3.2.4.1.2, if both </w:t>
            </w:r>
            <w:r>
              <w:rPr>
                <w:rFonts w:hint="eastAsia"/>
                <w:color w:val="0000FF"/>
                <w:u w:val="single"/>
              </w:rPr>
              <w:t>UTO</w:t>
            </w:r>
            <w:r>
              <w:rPr>
                <w:color w:val="0000FF"/>
                <w:u w:val="single"/>
              </w:rPr>
              <w:t xml:space="preserve">-UCI associated with priority index 0 and HARQ-ACK bits associated with priority index 0 are transmitted, by taking </w:t>
            </w:r>
            <w:r>
              <w:rPr>
                <w:rFonts w:hint="eastAsia"/>
                <w:color w:val="0000FF"/>
                <w:u w:val="single"/>
              </w:rPr>
              <w:t>UTO</w:t>
            </w:r>
            <w:r>
              <w:rPr>
                <w:color w:val="0000FF"/>
                <w:u w:val="single"/>
              </w:rPr>
              <w:t xml:space="preserve">-UCI associated with priority index 0 and HARQ-ACK bits associated with priority index 0 as </w:t>
            </w:r>
            <w:r>
              <w:rPr>
                <w:rFonts w:hint="eastAsia"/>
                <w:color w:val="0000FF"/>
                <w:u w:val="single"/>
              </w:rPr>
              <w:t>CSI-</w:t>
            </w:r>
            <w:r>
              <w:rPr>
                <w:color w:val="0000FF"/>
                <w:u w:val="single"/>
              </w:rPr>
              <w:t xml:space="preserve">part 1 and replacing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β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offset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PUSCH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p>
              </m:sSubSup>
            </m:oMath>
            <w:r>
              <w:rPr>
                <w:color w:val="0000FF"/>
                <w:u w:val="single"/>
              </w:rPr>
              <w:t xml:space="preserve"> by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β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offset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HARQ−ACK−</m:t>
                  </m:r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FF"/>
                      <w:u w:val="single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color w:val="0000FF"/>
                  <w:u w:val="single"/>
                </w:rPr>
                <m:t>,</m:t>
              </m:r>
            </m:oMath>
            <w:r>
              <w:rPr>
                <w:color w:val="0000FF"/>
                <w:u w:val="single"/>
              </w:rPr>
              <w:t xml:space="preserve"> and taking HARQ-ACK with priority index 1 as HARQ-ACK</w:t>
            </w:r>
            <w:r>
              <w:rPr>
                <w:rFonts w:hint="eastAsia"/>
                <w:color w:val="0000FF"/>
                <w:u w:val="single"/>
              </w:rPr>
              <w:t xml:space="preserve">, replacing </w:t>
            </w:r>
            <w:r>
              <w:rPr>
                <w:color w:val="0000FF"/>
                <w:u w:val="single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β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offset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PUSCH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p>
              </m:sSubSup>
            </m:oMath>
            <w:r>
              <w:rPr>
                <w:color w:val="0000FF"/>
                <w:u w:val="single"/>
              </w:rPr>
              <w:t xml:space="preserve"> by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β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offset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HARQ−ACK−HP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p>
              </m:sSubSup>
            </m:oMath>
            <w:r>
              <w:rPr>
                <w:rFonts w:hint="eastAsia"/>
                <w:color w:val="0000FF"/>
                <w:u w:val="single"/>
              </w:rPr>
              <w:t>.</w:t>
            </w:r>
          </w:p>
          <w:p>
            <w:pPr>
              <w:pStyle w:val="64"/>
              <w:spacing w:before="120" w:after="120"/>
            </w:pPr>
            <w:r>
              <w:rPr>
                <w:color w:val="0000FF"/>
                <w:u w:val="single"/>
              </w:rPr>
              <w:t>-</w:t>
            </w:r>
            <w:r>
              <w:rPr>
                <w:color w:val="0000FF"/>
                <w:u w:val="single"/>
              </w:rPr>
              <w:tab/>
            </w:r>
            <w:r>
              <w:rPr>
                <w:color w:val="0000FF"/>
                <w:u w:val="single"/>
              </w:rPr>
              <w:t xml:space="preserve">Perform rate matching for CSI part 1 according to clause 6.3.2.4.1.3, by taking CSI part 1 as CSI part 2 and replacing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β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offset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PUSCH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p>
              </m:sSubSup>
            </m:oMath>
            <w:r>
              <w:rPr>
                <w:color w:val="0000FF"/>
                <w:u w:val="single"/>
              </w:rPr>
              <w:t xml:space="preserve"> by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color w:val="0000FF"/>
                      <w:u w:val="single"/>
                    </w:rPr>
                    <m:t>β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offset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FF"/>
                      <w:u w:val="single"/>
                    </w:rPr>
                    <m:t>CSI−part1</m:t>
                  </m:r>
                  <m:ctrlPr>
                    <w:rPr>
                      <w:rFonts w:ascii="Cambria Math" w:hAnsi="Cambria Math"/>
                      <w:i/>
                      <w:color w:val="0000FF"/>
                      <w:u w:val="single"/>
                    </w:rPr>
                  </m:ctrlPr>
                </m:sup>
              </m:sSubSup>
            </m:oMath>
            <w:r>
              <w:rPr>
                <w:color w:val="0000FF"/>
                <w:u w:val="single"/>
              </w:rPr>
              <w:t xml:space="preserve">, taking </w:t>
            </w:r>
            <w:r>
              <w:rPr>
                <w:rFonts w:hint="eastAsia"/>
                <w:color w:val="0000FF"/>
                <w:u w:val="single"/>
              </w:rPr>
              <w:t>UTO</w:t>
            </w:r>
            <w:r>
              <w:rPr>
                <w:color w:val="0000FF"/>
                <w:u w:val="single"/>
              </w:rPr>
              <w:t xml:space="preserve">-UCI associated with priority index 0 and HARQ-ACK bits associated with priority index 0 if any as </w:t>
            </w:r>
            <w:r>
              <w:rPr>
                <w:rFonts w:hint="eastAsia"/>
                <w:color w:val="0000FF"/>
                <w:u w:val="single"/>
              </w:rPr>
              <w:t>CSI-</w:t>
            </w:r>
            <w:r>
              <w:rPr>
                <w:color w:val="0000FF"/>
                <w:u w:val="single"/>
              </w:rPr>
              <w:t>part 1 and taking HARQ-ACK with priority index 1 as HARQ-ACK, if CSI part 1 is also</w:t>
            </w:r>
            <w:r>
              <w:rPr>
                <w:rFonts w:hint="eastAsia"/>
                <w:color w:val="0000FF"/>
                <w:u w:val="single"/>
              </w:rPr>
              <w:t xml:space="preserve"> transmitted on </w:t>
            </w:r>
            <w:r>
              <w:rPr>
                <w:color w:val="0000FF"/>
                <w:u w:val="single"/>
              </w:rPr>
              <w:t>the</w:t>
            </w:r>
            <w:r>
              <w:rPr>
                <w:rFonts w:hint="eastAsia"/>
                <w:color w:val="0000FF"/>
                <w:u w:val="single"/>
              </w:rPr>
              <w:t xml:space="preserve"> PUSCH</w:t>
            </w:r>
            <w:r>
              <w:rPr>
                <w:color w:val="0000FF"/>
                <w:u w:val="single"/>
              </w:rPr>
              <w:t xml:space="preserve"> and the PUSCH is associated with priority index 0.</w:t>
            </w:r>
          </w:p>
        </w:tc>
      </w:tr>
    </w:tbl>
    <w:p>
      <w:pPr>
        <w:pStyle w:val="3"/>
        <w:numPr>
          <w:ilvl w:val="1"/>
          <w:numId w:val="0"/>
        </w:numPr>
        <w:spacing w:before="120" w:after="120"/>
        <w:ind w:left="-319" w:leftChars="-152" w:right="210" w:rightChars="100" w:firstLine="420" w:firstLineChars="0"/>
      </w:pPr>
      <w:r>
        <w:rPr>
          <w:rFonts w:hint="eastAsia"/>
          <w:lang w:val="en-US" w:eastAsia="zh-CN"/>
        </w:rPr>
        <w:t>TP#4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spacing w:before="120" w:after="120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TP#4</w:t>
            </w:r>
          </w:p>
          <w:p>
            <w:pPr>
              <w:keepNext/>
              <w:keepLines/>
              <w:spacing w:before="120" w:after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>
              <w:rPr>
                <w:rFonts w:hint="eastAsia" w:ascii="Arial" w:hAnsi="Arial"/>
                <w:sz w:val="22"/>
              </w:rPr>
              <w:t>6.3.2.4.2</w:t>
            </w:r>
            <w:r>
              <w:rPr>
                <w:rFonts w:hint="eastAsia" w:ascii="Arial" w:hAnsi="Arial"/>
                <w:sz w:val="22"/>
              </w:rPr>
              <w:tab/>
            </w:r>
            <w:r>
              <w:rPr>
                <w:rFonts w:hint="eastAsia" w:ascii="Arial" w:hAnsi="Arial"/>
                <w:sz w:val="22"/>
              </w:rPr>
              <w:t>UCI encoded by channel coding of small block lengths</w:t>
            </w:r>
          </w:p>
          <w:p>
            <w:pPr>
              <w:spacing w:before="120" w:after="120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&lt; Unchanged parts are omitted &gt;</w:t>
            </w:r>
          </w:p>
          <w:p>
            <w:pPr>
              <w:keepNext/>
              <w:keepLines/>
              <w:spacing w:before="120" w:after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>
              <w:rPr>
                <w:rFonts w:hint="eastAsia" w:ascii="Arial" w:hAnsi="Arial"/>
                <w:sz w:val="22"/>
              </w:rPr>
              <w:t>6.3.2.4.2.6</w:t>
            </w:r>
            <w:r>
              <w:rPr>
                <w:rFonts w:hint="eastAsia" w:ascii="Arial" w:hAnsi="Arial"/>
                <w:sz w:val="22"/>
              </w:rPr>
              <w:tab/>
            </w:r>
            <w:r>
              <w:rPr>
                <w:rFonts w:hint="eastAsia" w:ascii="Arial" w:hAnsi="Arial"/>
                <w:sz w:val="22"/>
              </w:rPr>
              <w:t>UCI with different priority indexes</w:t>
            </w:r>
          </w:p>
          <w:p>
            <w:pPr>
              <w:spacing w:before="120" w:after="12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&lt; Unchanged parts are omitted &gt;</w:t>
            </w:r>
          </w:p>
          <w:p>
            <w:pPr>
              <w:spacing w:before="120" w:after="120"/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I</w:t>
            </w:r>
            <w:r>
              <w:rPr>
                <w:rFonts w:hint="eastAsia"/>
                <w:color w:val="0000FF"/>
                <w:u w:val="single"/>
              </w:rPr>
              <w:t xml:space="preserve">f </w:t>
            </w:r>
            <w:r>
              <w:rPr>
                <w:color w:val="0000FF"/>
                <w:u w:val="single"/>
              </w:rPr>
              <w:t xml:space="preserve">the higher layer parameter </w:t>
            </w:r>
            <w:r>
              <w:rPr>
                <w:i/>
                <w:iCs/>
                <w:color w:val="0000FF"/>
                <w:u w:val="single"/>
              </w:rPr>
              <w:t xml:space="preserve">nrof_UTO_UCI </w:t>
            </w:r>
            <w:r>
              <w:rPr>
                <w:color w:val="0000FF"/>
                <w:u w:val="single"/>
              </w:rPr>
              <w:t xml:space="preserve">is configured, the procedures in this clause and the clauses it refers to apply by replacing CG-UCI with UTO-UCI in all the notations and texts. </w:t>
            </w:r>
          </w:p>
          <w:p>
            <w:pPr>
              <w:spacing w:before="120" w:after="120"/>
              <w:jc w:val="center"/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&lt; Unchanged parts are omitted &gt;</w:t>
            </w:r>
          </w:p>
        </w:tc>
      </w:tr>
    </w:tbl>
    <w:p>
      <w:pPr>
        <w:pStyle w:val="3"/>
        <w:numPr>
          <w:ilvl w:val="1"/>
          <w:numId w:val="0"/>
        </w:numPr>
        <w:spacing w:before="120" w:after="120"/>
        <w:ind w:left="-319" w:leftChars="-152" w:right="210" w:rightChars="100" w:firstLine="420" w:firstLineChars="0"/>
        <w:rPr>
          <w:rFonts w:hint="default"/>
          <w:lang w:val="en-US"/>
        </w:rPr>
      </w:pPr>
      <w:r>
        <w:rPr>
          <w:rFonts w:hint="eastAsia"/>
          <w:lang w:val="en-US" w:eastAsia="zh-CN"/>
        </w:rPr>
        <w:t>TP#5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spacing w:before="120" w:after="120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TP#5</w:t>
            </w:r>
          </w:p>
          <w:p>
            <w:pPr>
              <w:keepNext/>
              <w:keepLines/>
              <w:spacing w:before="120" w:after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>
              <w:rPr>
                <w:rFonts w:hint="eastAsia" w:ascii="Arial" w:hAnsi="Arial"/>
                <w:sz w:val="22"/>
              </w:rPr>
              <w:t>6.3.2.7</w:t>
            </w:r>
            <w:r>
              <w:rPr>
                <w:rFonts w:hint="eastAsia" w:ascii="Arial" w:hAnsi="Arial"/>
                <w:sz w:val="22"/>
              </w:rPr>
              <w:tab/>
            </w:r>
            <w:r>
              <w:rPr>
                <w:rFonts w:hint="eastAsia" w:ascii="Arial" w:hAnsi="Arial"/>
                <w:sz w:val="22"/>
              </w:rPr>
              <w:t>Multiplexing of coded UCI bits with different priority indexes to PUSCH</w:t>
            </w:r>
          </w:p>
          <w:p>
            <w:pPr>
              <w:spacing w:before="120" w:after="120"/>
              <w:jc w:val="center"/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&lt; Unchanged parts are omitted &gt;</w:t>
            </w:r>
          </w:p>
          <w:p>
            <w:pPr>
              <w:spacing w:before="120" w:after="120"/>
              <w:rPr>
                <w:color w:val="0000FF"/>
                <w:u w:val="single"/>
              </w:rPr>
            </w:pPr>
            <w:r>
              <w:rPr>
                <w:rFonts w:hint="eastAsia"/>
                <w:color w:val="0000FF"/>
                <w:u w:val="single"/>
              </w:rPr>
              <w:t xml:space="preserve">If </w:t>
            </w:r>
            <w:r>
              <w:rPr>
                <w:i/>
                <w:iCs/>
                <w:color w:val="0000FF"/>
                <w:u w:val="single"/>
              </w:rPr>
              <w:t>uci-MuxWithDiffPrio</w:t>
            </w:r>
            <w:r>
              <w:rPr>
                <w:rFonts w:cs="Arial"/>
                <w:i/>
                <w:color w:val="0000FF"/>
                <w:u w:val="single"/>
              </w:rPr>
              <w:t xml:space="preserve"> </w:t>
            </w:r>
            <w:r>
              <w:rPr>
                <w:rFonts w:cs="Arial"/>
                <w:color w:val="0000FF"/>
                <w:u w:val="single"/>
              </w:rPr>
              <w:t>is configured,</w:t>
            </w:r>
            <w:r>
              <w:rPr>
                <w:color w:val="0000FF"/>
                <w:u w:val="single"/>
              </w:rPr>
              <w:t xml:space="preserve"> and HARQ-ACK bits associated with priority index 0, HARQ-ACK bits associated with priority index 1 and/or </w:t>
            </w:r>
            <w:r>
              <w:rPr>
                <w:rFonts w:hint="eastAsia"/>
                <w:color w:val="0000FF"/>
                <w:u w:val="single"/>
              </w:rPr>
              <w:t>UTO</w:t>
            </w:r>
            <w:r>
              <w:rPr>
                <w:color w:val="0000FF"/>
                <w:u w:val="single"/>
              </w:rPr>
              <w:t>-UCI associated with priority index 1, and CSI part 1 if any</w:t>
            </w:r>
            <w:r>
              <w:rPr>
                <w:rFonts w:hint="eastAsia"/>
                <w:color w:val="0000FF"/>
                <w:u w:val="single"/>
              </w:rPr>
              <w:t xml:space="preserve"> are transmitted on a PUSCH</w:t>
            </w:r>
            <w:r>
              <w:rPr>
                <w:color w:val="0000FF"/>
                <w:u w:val="single"/>
              </w:rPr>
              <w:t>,</w:t>
            </w:r>
            <w:r>
              <w:rPr>
                <w:rFonts w:hint="eastAsia"/>
                <w:color w:val="0000FF"/>
                <w:u w:val="single"/>
              </w:rPr>
              <w:t xml:space="preserve"> </w:t>
            </w:r>
            <w:r>
              <w:rPr>
                <w:color w:val="0000FF"/>
                <w:u w:val="single"/>
              </w:rPr>
              <w:t>if CSI part 1 is also transmitted on the PUSCH</w:t>
            </w:r>
            <w:r>
              <w:rPr>
                <w:rFonts w:hint="eastAsia"/>
                <w:color w:val="0000FF"/>
                <w:u w:val="single"/>
              </w:rPr>
              <w:t xml:space="preserve"> </w:t>
            </w:r>
            <w:r>
              <w:rPr>
                <w:color w:val="0000FF"/>
                <w:u w:val="single"/>
              </w:rPr>
              <w:t>and the PUSCH is associated with priority index 1, t</w:t>
            </w:r>
            <w:r>
              <w:rPr>
                <w:rFonts w:hint="eastAsia"/>
                <w:color w:val="0000FF"/>
                <w:u w:val="single"/>
              </w:rPr>
              <w:t xml:space="preserve">he coded UCI bits are </w:t>
            </w:r>
            <w:r>
              <w:rPr>
                <w:color w:val="0000FF"/>
                <w:u w:val="single"/>
              </w:rPr>
              <w:t>multiplexed</w:t>
            </w:r>
            <w:r>
              <w:rPr>
                <w:rFonts w:hint="eastAsia"/>
                <w:color w:val="0000FF"/>
                <w:u w:val="single"/>
              </w:rPr>
              <w:t xml:space="preserve"> onto PUSCH according to the procedures in Clause 6.2.7</w:t>
            </w:r>
            <w:r>
              <w:rPr>
                <w:color w:val="0000FF"/>
                <w:u w:val="single"/>
              </w:rPr>
              <w:t xml:space="preserve"> by taking HARQ-ACK with priority index 1</w:t>
            </w:r>
            <w:r>
              <w:rPr>
                <w:rFonts w:hint="eastAsia"/>
                <w:color w:val="0000FF"/>
                <w:u w:val="single"/>
              </w:rPr>
              <w:t xml:space="preserve"> and/or UTO</w:t>
            </w:r>
            <w:r>
              <w:rPr>
                <w:color w:val="0000FF"/>
                <w:u w:val="single"/>
              </w:rPr>
              <w:t xml:space="preserve">-UCI associated with priority index 1 as HARQ-ACK, </w:t>
            </w:r>
            <w:r>
              <w:rPr>
                <w:rFonts w:hint="eastAsia"/>
                <w:color w:val="0000FF"/>
                <w:highlight w:val="none"/>
                <w:u w:val="single"/>
              </w:rPr>
              <w:t>taking CSI part 1 as CSI part 1</w:t>
            </w:r>
            <w:r>
              <w:rPr>
                <w:rFonts w:hint="eastAsia"/>
                <w:color w:val="0000FF"/>
                <w:u w:val="single"/>
              </w:rPr>
              <w:t xml:space="preserve"> </w:t>
            </w:r>
            <w:r>
              <w:rPr>
                <w:color w:val="0000FF"/>
                <w:u w:val="single"/>
              </w:rPr>
              <w:t>and taking HARQ-ACK with priority index 0 as CSI part 2;</w:t>
            </w:r>
          </w:p>
          <w:p>
            <w:pPr>
              <w:spacing w:before="120" w:after="120"/>
            </w:pPr>
            <w:r>
              <w:rPr>
                <w:rFonts w:hint="eastAsia"/>
                <w:color w:val="0000FF"/>
                <w:u w:val="single"/>
              </w:rPr>
              <w:t xml:space="preserve">If </w:t>
            </w:r>
            <w:r>
              <w:rPr>
                <w:i/>
                <w:iCs/>
                <w:color w:val="0000FF"/>
                <w:u w:val="single"/>
              </w:rPr>
              <w:t>uci-MuxWithDiffPrio</w:t>
            </w:r>
            <w:r>
              <w:rPr>
                <w:rFonts w:cs="Arial"/>
                <w:i/>
                <w:color w:val="0000FF"/>
                <w:u w:val="single"/>
              </w:rPr>
              <w:t xml:space="preserve"> </w:t>
            </w:r>
            <w:r>
              <w:rPr>
                <w:rFonts w:cs="Arial"/>
                <w:color w:val="0000FF"/>
                <w:u w:val="single"/>
              </w:rPr>
              <w:t>is configured,</w:t>
            </w:r>
            <w:r>
              <w:rPr>
                <w:color w:val="0000FF"/>
                <w:u w:val="single"/>
              </w:rPr>
              <w:t xml:space="preserve"> and </w:t>
            </w:r>
            <w:r>
              <w:rPr>
                <w:rFonts w:hint="eastAsia"/>
                <w:color w:val="0000FF"/>
                <w:u w:val="single"/>
              </w:rPr>
              <w:t>UTO</w:t>
            </w:r>
            <w:r>
              <w:rPr>
                <w:color w:val="0000FF"/>
                <w:u w:val="single"/>
              </w:rPr>
              <w:t>-UCI associated with priority index 0</w:t>
            </w:r>
            <w:r>
              <w:rPr>
                <w:rFonts w:hint="eastAsia"/>
                <w:color w:val="0000FF"/>
                <w:u w:val="single"/>
              </w:rPr>
              <w:t xml:space="preserve"> </w:t>
            </w:r>
            <w:r>
              <w:rPr>
                <w:color w:val="0000FF"/>
                <w:u w:val="single"/>
              </w:rPr>
              <w:t>and HARQ-ACK bits associated with priority index 0 if any, HARQ-ACK bits associated with priority index 1, and CSI part 1 if any</w:t>
            </w:r>
            <w:r>
              <w:rPr>
                <w:rFonts w:hint="eastAsia"/>
                <w:color w:val="0000FF"/>
                <w:u w:val="single"/>
              </w:rPr>
              <w:t xml:space="preserve"> are transmitted on a PUSCH</w:t>
            </w:r>
            <w:r>
              <w:rPr>
                <w:color w:val="0000FF"/>
                <w:u w:val="single"/>
              </w:rPr>
              <w:t xml:space="preserve"> associated with priority index 0</w:t>
            </w:r>
            <w:r>
              <w:rPr>
                <w:rFonts w:hint="eastAsia"/>
                <w:color w:val="0000FF"/>
                <w:u w:val="single"/>
              </w:rPr>
              <w:t>,</w:t>
            </w:r>
            <w:r>
              <w:rPr>
                <w:color w:val="0000FF"/>
                <w:u w:val="single"/>
              </w:rPr>
              <w:t xml:space="preserve"> t</w:t>
            </w:r>
            <w:r>
              <w:rPr>
                <w:rFonts w:hint="eastAsia"/>
                <w:color w:val="0000FF"/>
                <w:u w:val="single"/>
              </w:rPr>
              <w:t xml:space="preserve">he coded UCI bits are </w:t>
            </w:r>
            <w:r>
              <w:rPr>
                <w:color w:val="0000FF"/>
                <w:u w:val="single"/>
              </w:rPr>
              <w:t>multiplexed</w:t>
            </w:r>
            <w:r>
              <w:rPr>
                <w:rFonts w:hint="eastAsia"/>
                <w:color w:val="0000FF"/>
                <w:u w:val="single"/>
              </w:rPr>
              <w:t xml:space="preserve"> onto PUSCH according to the procedures in Clause 6.2.7</w:t>
            </w:r>
            <w:r>
              <w:rPr>
                <w:color w:val="0000FF"/>
                <w:u w:val="single"/>
              </w:rPr>
              <w:t xml:space="preserve"> by taking HARQ-ACK with priority index 1 as HARQ-ACK, taking </w:t>
            </w:r>
            <w:r>
              <w:rPr>
                <w:rFonts w:hint="eastAsia"/>
                <w:color w:val="0000FF"/>
                <w:u w:val="single"/>
              </w:rPr>
              <w:t>UTO</w:t>
            </w:r>
            <w:r>
              <w:rPr>
                <w:color w:val="0000FF"/>
                <w:u w:val="single"/>
              </w:rPr>
              <w:t>-UCI associated with priority index 0 and HARQ-ACK bits associated with priority index 0 if any as CSI part 1, and taking CSI part 1 as CSI part 2 if CSI part 1 is also</w:t>
            </w:r>
            <w:r>
              <w:rPr>
                <w:rFonts w:hint="eastAsia"/>
                <w:color w:val="0000FF"/>
                <w:u w:val="single"/>
              </w:rPr>
              <w:t xml:space="preserve"> transmitted on </w:t>
            </w:r>
            <w:r>
              <w:rPr>
                <w:color w:val="0000FF"/>
                <w:u w:val="single"/>
              </w:rPr>
              <w:t>the</w:t>
            </w:r>
            <w:r>
              <w:rPr>
                <w:rFonts w:hint="eastAsia"/>
                <w:color w:val="0000FF"/>
                <w:u w:val="single"/>
              </w:rPr>
              <w:t xml:space="preserve"> PUSCH</w:t>
            </w:r>
            <w:r>
              <w:rPr>
                <w:color w:val="0000FF"/>
                <w:u w:val="single"/>
              </w:rPr>
              <w:t xml:space="preserve"> and the PUSCH is associated with priority index 0</w:t>
            </w:r>
            <w:r>
              <w:rPr>
                <w:rFonts w:hint="eastAsia"/>
                <w:color w:val="0000FF"/>
                <w:u w:val="single"/>
              </w:rPr>
              <w:t>.</w:t>
            </w:r>
          </w:p>
        </w:tc>
      </w:tr>
    </w:tbl>
    <w:p>
      <w:pPr>
        <w:pStyle w:val="37"/>
        <w:numPr>
          <w:ilvl w:val="0"/>
          <w:numId w:val="0"/>
        </w:numPr>
        <w:spacing w:before="120" w:after="120"/>
      </w:pPr>
    </w:p>
    <w:p>
      <w:pPr>
        <w:pStyle w:val="37"/>
        <w:numPr>
          <w:ilvl w:val="0"/>
          <w:numId w:val="0"/>
        </w:numPr>
        <w:spacing w:before="120" w:after="120"/>
      </w:pPr>
    </w:p>
    <w:p>
      <w:pPr>
        <w:pStyle w:val="3"/>
        <w:numPr>
          <w:ilvl w:val="1"/>
          <w:numId w:val="0"/>
        </w:numPr>
        <w:spacing w:before="120" w:after="120"/>
        <w:ind w:left="-319" w:leftChars="-152" w:right="210" w:rightChars="100" w:firstLine="420" w:firstLineChars="0"/>
        <w:rPr>
          <w:rFonts w:hint="default"/>
          <w:lang w:val="en-US"/>
        </w:rPr>
      </w:pPr>
      <w:r>
        <w:rPr>
          <w:rFonts w:hint="eastAsia"/>
          <w:lang w:val="en-US" w:eastAsia="zh-CN"/>
        </w:rPr>
        <w:t>TP#6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spacing w:before="120" w:after="120"/>
              <w:ind w:left="1985" w:hanging="1985"/>
              <w:outlineLvl w:val="5"/>
              <w:rPr>
                <w:rFonts w:ascii="Arial" w:hAnsi="Arial"/>
                <w:highlight w:val="green"/>
              </w:rPr>
            </w:pPr>
            <w:bookmarkStart w:id="38" w:name="_Toc20311578"/>
            <w:bookmarkStart w:id="39" w:name="_Toc137056384"/>
            <w:bookmarkStart w:id="40" w:name="_Toc26719403"/>
            <w:bookmarkStart w:id="41" w:name="_Toc12021466"/>
            <w:bookmarkStart w:id="42" w:name="_Toc29917290"/>
            <w:bookmarkStart w:id="43" w:name="_Toc45699190"/>
            <w:bookmarkStart w:id="44" w:name="_Toc29894836"/>
            <w:bookmarkStart w:id="45" w:name="_Toc29899135"/>
            <w:bookmarkStart w:id="46" w:name="_Toc36498164"/>
            <w:bookmarkStart w:id="47" w:name="_Toc29899553"/>
            <w:r>
              <w:rPr>
                <w:rFonts w:hint="eastAsia" w:ascii="Arial" w:hAnsi="Arial"/>
                <w:highlight w:val="green"/>
              </w:rPr>
              <w:t>TP#6</w:t>
            </w:r>
          </w:p>
          <w:p>
            <w:pPr>
              <w:keepNext/>
              <w:keepLines/>
              <w:spacing w:before="120" w:after="120"/>
              <w:ind w:left="1985" w:hanging="1985"/>
              <w:outlineLvl w:val="5"/>
              <w:rPr>
                <w:rFonts w:ascii="Arial" w:hAnsi="Arial"/>
              </w:rPr>
            </w:pPr>
            <w:r>
              <w:rPr>
                <w:rFonts w:hint="eastAsia" w:ascii="Arial" w:hAnsi="Arial"/>
              </w:rPr>
              <w:t>9</w:t>
            </w:r>
            <w:r>
              <w:rPr>
                <w:rFonts w:hint="eastAsia" w:ascii="Arial" w:hAnsi="Arial"/>
              </w:rPr>
              <w:tab/>
            </w:r>
            <w:r>
              <w:rPr>
                <w:rFonts w:hint="eastAsia" w:ascii="Arial" w:hAnsi="Arial"/>
              </w:rPr>
              <w:t>UE procedure for reporting control information</w:t>
            </w:r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</w:p>
          <w:p>
            <w:pPr>
              <w:keepNext/>
              <w:keepLines/>
              <w:spacing w:before="120" w:after="120"/>
              <w:ind w:left="1134" w:hanging="1134"/>
              <w:jc w:val="center"/>
              <w:outlineLvl w:val="1"/>
            </w:pPr>
            <w:r>
              <w:rPr>
                <w:color w:val="FF0000"/>
                <w:sz w:val="22"/>
                <w:szCs w:val="22"/>
              </w:rPr>
              <w:t>*** Unchanged parts are omitted ***</w:t>
            </w:r>
          </w:p>
          <w:p>
            <w:pPr>
              <w:spacing w:before="120" w:after="120"/>
              <w:rPr>
                <w:iCs/>
                <w:color w:val="000000"/>
              </w:rPr>
            </w:pPr>
            <w:r>
              <w:t xml:space="preserve">When a UE would multiplex HARQ-ACK information in a PUSCH transmission that is configured by a </w:t>
            </w:r>
            <w:r>
              <w:rPr>
                <w:i/>
                <w:iCs/>
              </w:rPr>
              <w:t>ConfiguredGrantConfig</w:t>
            </w:r>
            <w:r>
              <w:rPr>
                <w:iCs/>
              </w:rPr>
              <w:t xml:space="preserve"> </w:t>
            </w:r>
            <w:r>
              <w:t xml:space="preserve">and includes CG-UCI [5, TS 38.212], the UE multiplexes the HARQ-ACK information in the PUSCH transmission if the UE is provided </w:t>
            </w:r>
            <w:r>
              <w:rPr>
                <w:i/>
              </w:rPr>
              <w:t>cg-UCI-Multiplexing</w:t>
            </w:r>
            <w:r>
              <w:t xml:space="preserve">; otherwise, if the HARQ-ACK information and the PUSCH have same priority index, the UE does not transmit the PUSCH and multiplexes the HARQ-ACK information in a PUCCH transmission or in another PUSCH transmission; if the HARQ-ACK information and the PUSCH have different priority indexes, the UE does not transmit the channel with the smaller priority index. </w:t>
            </w:r>
          </w:p>
          <w:p>
            <w:pPr>
              <w:spacing w:before="120" w:after="120"/>
            </w:pPr>
            <w:r>
              <w:rPr>
                <w:rFonts w:hint="eastAsia"/>
                <w:iCs/>
                <w:color w:val="0000FF"/>
                <w:u w:val="single"/>
              </w:rPr>
              <w:t xml:space="preserve">When a UE would multiplex HARQ-ACK information in a PUSCH transmission that is configured by a </w:t>
            </w:r>
            <w:r>
              <w:rPr>
                <w:i/>
                <w:iCs/>
                <w:color w:val="0000FF"/>
                <w:u w:val="single"/>
              </w:rPr>
              <w:t>ConfiguredGrantConfig</w:t>
            </w:r>
            <w:r>
              <w:rPr>
                <w:rFonts w:hint="eastAsia"/>
                <w:i/>
                <w:iCs/>
                <w:color w:val="0000FF"/>
                <w:u w:val="single"/>
              </w:rPr>
              <w:t xml:space="preserve"> </w:t>
            </w:r>
            <w:r>
              <w:rPr>
                <w:rFonts w:hint="eastAsia"/>
                <w:iCs/>
                <w:color w:val="0000FF"/>
                <w:u w:val="single"/>
              </w:rPr>
              <w:t xml:space="preserve">and if </w:t>
            </w:r>
            <w:r>
              <w:rPr>
                <w:rFonts w:hint="eastAsia"/>
                <w:i/>
                <w:color w:val="0000FF"/>
                <w:u w:val="single"/>
              </w:rPr>
              <w:t>nrof_UTO_UCI</w:t>
            </w:r>
            <w:r>
              <w:rPr>
                <w:rFonts w:hint="eastAsia"/>
                <w:iCs/>
                <w:color w:val="0000FF"/>
                <w:u w:val="single"/>
              </w:rPr>
              <w:t xml:space="preserve"> is configured, the UE multiplexes the joint</w:t>
            </w:r>
            <w:r>
              <w:rPr>
                <w:rFonts w:hint="eastAsia"/>
                <w:iCs/>
                <w:color w:val="0000FF"/>
                <w:u w:val="single"/>
                <w:lang w:val="en-US" w:eastAsia="zh-CN"/>
              </w:rPr>
              <w:t>ly</w:t>
            </w:r>
            <w:r>
              <w:rPr>
                <w:rFonts w:hint="eastAsia"/>
                <w:iCs/>
                <w:color w:val="0000FF"/>
                <w:u w:val="single"/>
              </w:rPr>
              <w:t xml:space="preserve"> encoded HARQ-ACK information and UTO-UCI</w:t>
            </w:r>
            <w:r>
              <w:rPr>
                <w:rFonts w:hint="eastAsia"/>
                <w:iCs/>
                <w:color w:val="0000FF"/>
                <w:u w:val="single"/>
                <w:lang w:val="en-US" w:eastAsia="zh-CN"/>
              </w:rPr>
              <w:t xml:space="preserve"> in the PUSCH transmission</w:t>
            </w:r>
            <w:r>
              <w:rPr>
                <w:rFonts w:hint="eastAsia"/>
                <w:iCs/>
                <w:color w:val="0000FF"/>
                <w:u w:val="single"/>
              </w:rPr>
              <w:t>.</w:t>
            </w:r>
          </w:p>
        </w:tc>
      </w:tr>
    </w:tbl>
    <w:p>
      <w:pPr>
        <w:pStyle w:val="37"/>
        <w:numPr>
          <w:ilvl w:val="0"/>
          <w:numId w:val="0"/>
        </w:numPr>
        <w:spacing w:before="120" w:after="12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7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23.1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aKXbD0QAAAAIBAAAPAAAAAAAAAAEAIAAAACIAAABkcnMvZG93bnJldi54bWxQ&#10;SwECFAAUAAAACACHTuJA/UKmI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7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BE73E4"/>
    <w:multiLevelType w:val="singleLevel"/>
    <w:tmpl w:val="9DBE73E4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">
    <w:nsid w:val="A9F8EE38"/>
    <w:multiLevelType w:val="singleLevel"/>
    <w:tmpl w:val="A9F8EE38"/>
    <w:lvl w:ilvl="0" w:tentative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2">
    <w:nsid w:val="AB34B193"/>
    <w:multiLevelType w:val="singleLevel"/>
    <w:tmpl w:val="AB34B193"/>
    <w:lvl w:ilvl="0" w:tentative="0">
      <w:start w:val="1"/>
      <w:numFmt w:val="decimal"/>
      <w:pStyle w:val="58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</w:abstractNum>
  <w:abstractNum w:abstractNumId="3">
    <w:nsid w:val="BD0CA652"/>
    <w:multiLevelType w:val="multilevel"/>
    <w:tmpl w:val="BD0CA652"/>
    <w:lvl w:ilvl="0" w:tentative="0">
      <w:start w:val="1"/>
      <w:numFmt w:val="decimal"/>
      <w:pStyle w:val="6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4962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2977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0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5">
    <w:nsid w:val="2CADF3CE"/>
    <w:multiLevelType w:val="singleLevel"/>
    <w:tmpl w:val="2CADF3C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6">
    <w:nsid w:val="3A258FA5"/>
    <w:multiLevelType w:val="singleLevel"/>
    <w:tmpl w:val="3A258FA5"/>
    <w:lvl w:ilvl="0" w:tentative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7">
    <w:nsid w:val="3A877D64"/>
    <w:multiLevelType w:val="singleLevel"/>
    <w:tmpl w:val="3A877D64"/>
    <w:lvl w:ilvl="0" w:tentative="0">
      <w:start w:val="1"/>
      <w:numFmt w:val="decimal"/>
      <w:pStyle w:val="37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7737DA85"/>
    <w:multiLevelType w:val="singleLevel"/>
    <w:tmpl w:val="7737DA85"/>
    <w:lvl w:ilvl="0" w:tentative="0">
      <w:start w:val="1"/>
      <w:numFmt w:val="decimal"/>
      <w:suff w:val="space"/>
      <w:lvlText w:val="%1."/>
      <w:lvlJc w:val="left"/>
      <w:pPr>
        <w:ind w:left="42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50423"/>
    <w:rsid w:val="00051F4E"/>
    <w:rsid w:val="000529AC"/>
    <w:rsid w:val="00071FB7"/>
    <w:rsid w:val="00072FB0"/>
    <w:rsid w:val="00093DF3"/>
    <w:rsid w:val="000A15BE"/>
    <w:rsid w:val="000C1A96"/>
    <w:rsid w:val="000D0462"/>
    <w:rsid w:val="000D627E"/>
    <w:rsid w:val="000E2433"/>
    <w:rsid w:val="000F28CA"/>
    <w:rsid w:val="00103906"/>
    <w:rsid w:val="00120AF7"/>
    <w:rsid w:val="00142961"/>
    <w:rsid w:val="001470AA"/>
    <w:rsid w:val="00153BF7"/>
    <w:rsid w:val="00154DBD"/>
    <w:rsid w:val="0016113B"/>
    <w:rsid w:val="001632AB"/>
    <w:rsid w:val="00172A27"/>
    <w:rsid w:val="001754AE"/>
    <w:rsid w:val="0018732E"/>
    <w:rsid w:val="00191912"/>
    <w:rsid w:val="00195F46"/>
    <w:rsid w:val="001A1539"/>
    <w:rsid w:val="001B3634"/>
    <w:rsid w:val="001C1894"/>
    <w:rsid w:val="001C196F"/>
    <w:rsid w:val="001D1287"/>
    <w:rsid w:val="001E0651"/>
    <w:rsid w:val="001E125B"/>
    <w:rsid w:val="001E262F"/>
    <w:rsid w:val="001F1BB1"/>
    <w:rsid w:val="001F415E"/>
    <w:rsid w:val="001F6E58"/>
    <w:rsid w:val="0020406B"/>
    <w:rsid w:val="00212872"/>
    <w:rsid w:val="00216169"/>
    <w:rsid w:val="002240E1"/>
    <w:rsid w:val="00224A1A"/>
    <w:rsid w:val="00227DF5"/>
    <w:rsid w:val="002320CA"/>
    <w:rsid w:val="002401EC"/>
    <w:rsid w:val="00243B44"/>
    <w:rsid w:val="00244ABB"/>
    <w:rsid w:val="00247A67"/>
    <w:rsid w:val="00251814"/>
    <w:rsid w:val="00256B05"/>
    <w:rsid w:val="00261BCE"/>
    <w:rsid w:val="00261C72"/>
    <w:rsid w:val="0026766E"/>
    <w:rsid w:val="002748A9"/>
    <w:rsid w:val="00282069"/>
    <w:rsid w:val="002B4661"/>
    <w:rsid w:val="002C4448"/>
    <w:rsid w:val="002C68AC"/>
    <w:rsid w:val="002C7CCD"/>
    <w:rsid w:val="002F0E7A"/>
    <w:rsid w:val="002F2535"/>
    <w:rsid w:val="002F5687"/>
    <w:rsid w:val="002F5A8D"/>
    <w:rsid w:val="00302F20"/>
    <w:rsid w:val="00303936"/>
    <w:rsid w:val="00314748"/>
    <w:rsid w:val="00316046"/>
    <w:rsid w:val="00317501"/>
    <w:rsid w:val="00322EE2"/>
    <w:rsid w:val="00325902"/>
    <w:rsid w:val="003275A3"/>
    <w:rsid w:val="00332D30"/>
    <w:rsid w:val="0033573E"/>
    <w:rsid w:val="00335FF9"/>
    <w:rsid w:val="0034009F"/>
    <w:rsid w:val="00340631"/>
    <w:rsid w:val="00343CE4"/>
    <w:rsid w:val="00344E48"/>
    <w:rsid w:val="003466BB"/>
    <w:rsid w:val="0035253F"/>
    <w:rsid w:val="00361D52"/>
    <w:rsid w:val="003704FF"/>
    <w:rsid w:val="00370D7F"/>
    <w:rsid w:val="00372A00"/>
    <w:rsid w:val="00373667"/>
    <w:rsid w:val="00376E4B"/>
    <w:rsid w:val="00376EEB"/>
    <w:rsid w:val="003872BB"/>
    <w:rsid w:val="00396F31"/>
    <w:rsid w:val="00397BA3"/>
    <w:rsid w:val="003A1DCE"/>
    <w:rsid w:val="003A4365"/>
    <w:rsid w:val="003A6BBE"/>
    <w:rsid w:val="003A7EAD"/>
    <w:rsid w:val="003B53DF"/>
    <w:rsid w:val="003D44C6"/>
    <w:rsid w:val="003D5CFD"/>
    <w:rsid w:val="003F7415"/>
    <w:rsid w:val="004003D2"/>
    <w:rsid w:val="004209E1"/>
    <w:rsid w:val="0042238B"/>
    <w:rsid w:val="00450C17"/>
    <w:rsid w:val="004527B1"/>
    <w:rsid w:val="004545A5"/>
    <w:rsid w:val="004608F6"/>
    <w:rsid w:val="004724B4"/>
    <w:rsid w:val="00472B06"/>
    <w:rsid w:val="00477655"/>
    <w:rsid w:val="0048120F"/>
    <w:rsid w:val="00482706"/>
    <w:rsid w:val="00490434"/>
    <w:rsid w:val="004A142B"/>
    <w:rsid w:val="004A5D1D"/>
    <w:rsid w:val="004A699E"/>
    <w:rsid w:val="004B44A9"/>
    <w:rsid w:val="004C1A54"/>
    <w:rsid w:val="004F5994"/>
    <w:rsid w:val="00500F45"/>
    <w:rsid w:val="00503921"/>
    <w:rsid w:val="00507A00"/>
    <w:rsid w:val="005176E7"/>
    <w:rsid w:val="00523589"/>
    <w:rsid w:val="00523668"/>
    <w:rsid w:val="00523AD9"/>
    <w:rsid w:val="00523D5E"/>
    <w:rsid w:val="00527033"/>
    <w:rsid w:val="00531B5B"/>
    <w:rsid w:val="00532500"/>
    <w:rsid w:val="005349A5"/>
    <w:rsid w:val="00541B22"/>
    <w:rsid w:val="00546436"/>
    <w:rsid w:val="00547723"/>
    <w:rsid w:val="00564BCB"/>
    <w:rsid w:val="005725AF"/>
    <w:rsid w:val="00572F6E"/>
    <w:rsid w:val="00574776"/>
    <w:rsid w:val="0058526A"/>
    <w:rsid w:val="0059321F"/>
    <w:rsid w:val="00593818"/>
    <w:rsid w:val="005A05C6"/>
    <w:rsid w:val="005A0FE9"/>
    <w:rsid w:val="005B77A5"/>
    <w:rsid w:val="005C6B42"/>
    <w:rsid w:val="005D6A1C"/>
    <w:rsid w:val="005E2C89"/>
    <w:rsid w:val="005F26E5"/>
    <w:rsid w:val="00604404"/>
    <w:rsid w:val="00611232"/>
    <w:rsid w:val="00614E28"/>
    <w:rsid w:val="00617327"/>
    <w:rsid w:val="00617EE7"/>
    <w:rsid w:val="00620288"/>
    <w:rsid w:val="00620D7C"/>
    <w:rsid w:val="006231ED"/>
    <w:rsid w:val="00624C23"/>
    <w:rsid w:val="00633E43"/>
    <w:rsid w:val="00637D11"/>
    <w:rsid w:val="00640B94"/>
    <w:rsid w:val="00642298"/>
    <w:rsid w:val="00646EAA"/>
    <w:rsid w:val="006501AA"/>
    <w:rsid w:val="006536B8"/>
    <w:rsid w:val="00676C72"/>
    <w:rsid w:val="00680FFF"/>
    <w:rsid w:val="00691376"/>
    <w:rsid w:val="006922EF"/>
    <w:rsid w:val="00694FB9"/>
    <w:rsid w:val="006C2229"/>
    <w:rsid w:val="006C55B1"/>
    <w:rsid w:val="006C69C1"/>
    <w:rsid w:val="006D11DE"/>
    <w:rsid w:val="006D3D89"/>
    <w:rsid w:val="006E01C3"/>
    <w:rsid w:val="006F4852"/>
    <w:rsid w:val="00700636"/>
    <w:rsid w:val="00701BF9"/>
    <w:rsid w:val="00702237"/>
    <w:rsid w:val="007036F7"/>
    <w:rsid w:val="0070691A"/>
    <w:rsid w:val="0070693A"/>
    <w:rsid w:val="00707117"/>
    <w:rsid w:val="00717A38"/>
    <w:rsid w:val="0073053B"/>
    <w:rsid w:val="00735DC1"/>
    <w:rsid w:val="00737786"/>
    <w:rsid w:val="007427BB"/>
    <w:rsid w:val="007440A2"/>
    <w:rsid w:val="00745143"/>
    <w:rsid w:val="00747C56"/>
    <w:rsid w:val="007501AC"/>
    <w:rsid w:val="00762F1B"/>
    <w:rsid w:val="0076682E"/>
    <w:rsid w:val="0077581A"/>
    <w:rsid w:val="0077761A"/>
    <w:rsid w:val="00784828"/>
    <w:rsid w:val="00785A2A"/>
    <w:rsid w:val="00786A2C"/>
    <w:rsid w:val="00787FA9"/>
    <w:rsid w:val="007A0CD8"/>
    <w:rsid w:val="007B0FD9"/>
    <w:rsid w:val="007B447A"/>
    <w:rsid w:val="007B458B"/>
    <w:rsid w:val="007C4328"/>
    <w:rsid w:val="007C440F"/>
    <w:rsid w:val="007E4A23"/>
    <w:rsid w:val="007F39F4"/>
    <w:rsid w:val="00802A15"/>
    <w:rsid w:val="00810C42"/>
    <w:rsid w:val="00816EF3"/>
    <w:rsid w:val="008266C4"/>
    <w:rsid w:val="008412CD"/>
    <w:rsid w:val="0084332A"/>
    <w:rsid w:val="00847621"/>
    <w:rsid w:val="00852635"/>
    <w:rsid w:val="0085443B"/>
    <w:rsid w:val="00857E93"/>
    <w:rsid w:val="008652E8"/>
    <w:rsid w:val="00870679"/>
    <w:rsid w:val="00870E40"/>
    <w:rsid w:val="00886E49"/>
    <w:rsid w:val="00886EA7"/>
    <w:rsid w:val="00892B4C"/>
    <w:rsid w:val="00893268"/>
    <w:rsid w:val="0089344F"/>
    <w:rsid w:val="00894520"/>
    <w:rsid w:val="008A72B5"/>
    <w:rsid w:val="008B3130"/>
    <w:rsid w:val="008B547D"/>
    <w:rsid w:val="008B5C48"/>
    <w:rsid w:val="008B7F10"/>
    <w:rsid w:val="008C0445"/>
    <w:rsid w:val="008F255E"/>
    <w:rsid w:val="008F3DC8"/>
    <w:rsid w:val="00903A35"/>
    <w:rsid w:val="00913703"/>
    <w:rsid w:val="00922624"/>
    <w:rsid w:val="00923BDA"/>
    <w:rsid w:val="0093617A"/>
    <w:rsid w:val="009411A5"/>
    <w:rsid w:val="00942AEE"/>
    <w:rsid w:val="00946A7C"/>
    <w:rsid w:val="00950DB1"/>
    <w:rsid w:val="00952C83"/>
    <w:rsid w:val="00956A30"/>
    <w:rsid w:val="00957418"/>
    <w:rsid w:val="009610C6"/>
    <w:rsid w:val="0096194F"/>
    <w:rsid w:val="00966E7D"/>
    <w:rsid w:val="00970630"/>
    <w:rsid w:val="00971A1F"/>
    <w:rsid w:val="009734B7"/>
    <w:rsid w:val="00983FE2"/>
    <w:rsid w:val="00986B97"/>
    <w:rsid w:val="00994A41"/>
    <w:rsid w:val="009A380A"/>
    <w:rsid w:val="009A3A36"/>
    <w:rsid w:val="009A4F31"/>
    <w:rsid w:val="009B05AD"/>
    <w:rsid w:val="009B18A3"/>
    <w:rsid w:val="009B5557"/>
    <w:rsid w:val="009D5B5E"/>
    <w:rsid w:val="009D6400"/>
    <w:rsid w:val="009D7770"/>
    <w:rsid w:val="009D7C12"/>
    <w:rsid w:val="009F65A8"/>
    <w:rsid w:val="009F7747"/>
    <w:rsid w:val="00A05A33"/>
    <w:rsid w:val="00A14F22"/>
    <w:rsid w:val="00A171E5"/>
    <w:rsid w:val="00A17810"/>
    <w:rsid w:val="00A212A7"/>
    <w:rsid w:val="00A21523"/>
    <w:rsid w:val="00A26720"/>
    <w:rsid w:val="00A33BD9"/>
    <w:rsid w:val="00A40C3F"/>
    <w:rsid w:val="00A4182C"/>
    <w:rsid w:val="00A50B2A"/>
    <w:rsid w:val="00A54A48"/>
    <w:rsid w:val="00A551E2"/>
    <w:rsid w:val="00A56849"/>
    <w:rsid w:val="00A656E5"/>
    <w:rsid w:val="00A809DB"/>
    <w:rsid w:val="00A86EB5"/>
    <w:rsid w:val="00A91773"/>
    <w:rsid w:val="00A92854"/>
    <w:rsid w:val="00A92CA8"/>
    <w:rsid w:val="00AA1889"/>
    <w:rsid w:val="00AB0AAF"/>
    <w:rsid w:val="00AB251B"/>
    <w:rsid w:val="00AB5108"/>
    <w:rsid w:val="00AB6D34"/>
    <w:rsid w:val="00AC24BF"/>
    <w:rsid w:val="00AD56C4"/>
    <w:rsid w:val="00AD7FE5"/>
    <w:rsid w:val="00AE5530"/>
    <w:rsid w:val="00B031EF"/>
    <w:rsid w:val="00B11405"/>
    <w:rsid w:val="00B12602"/>
    <w:rsid w:val="00B138E9"/>
    <w:rsid w:val="00B179E3"/>
    <w:rsid w:val="00B245AA"/>
    <w:rsid w:val="00B34FF8"/>
    <w:rsid w:val="00B43645"/>
    <w:rsid w:val="00B54730"/>
    <w:rsid w:val="00B56091"/>
    <w:rsid w:val="00B60F6C"/>
    <w:rsid w:val="00B663FA"/>
    <w:rsid w:val="00B76824"/>
    <w:rsid w:val="00B81C3C"/>
    <w:rsid w:val="00B87AB7"/>
    <w:rsid w:val="00BA72B7"/>
    <w:rsid w:val="00BA7674"/>
    <w:rsid w:val="00BB08C4"/>
    <w:rsid w:val="00BD72A5"/>
    <w:rsid w:val="00BE22EC"/>
    <w:rsid w:val="00BE5D22"/>
    <w:rsid w:val="00BE7970"/>
    <w:rsid w:val="00BF526E"/>
    <w:rsid w:val="00BF743C"/>
    <w:rsid w:val="00C07C74"/>
    <w:rsid w:val="00C12784"/>
    <w:rsid w:val="00C16276"/>
    <w:rsid w:val="00C2142E"/>
    <w:rsid w:val="00C22FCF"/>
    <w:rsid w:val="00C2334E"/>
    <w:rsid w:val="00C2713A"/>
    <w:rsid w:val="00C34FD0"/>
    <w:rsid w:val="00C625E3"/>
    <w:rsid w:val="00C67AE3"/>
    <w:rsid w:val="00C76271"/>
    <w:rsid w:val="00C829B3"/>
    <w:rsid w:val="00C855D2"/>
    <w:rsid w:val="00C925E7"/>
    <w:rsid w:val="00CA09F5"/>
    <w:rsid w:val="00CA152B"/>
    <w:rsid w:val="00CB03D7"/>
    <w:rsid w:val="00CB046A"/>
    <w:rsid w:val="00CB7FB3"/>
    <w:rsid w:val="00CC01B0"/>
    <w:rsid w:val="00CC11A8"/>
    <w:rsid w:val="00CD5E4A"/>
    <w:rsid w:val="00CD62C4"/>
    <w:rsid w:val="00CD71E9"/>
    <w:rsid w:val="00CE32ED"/>
    <w:rsid w:val="00CF0062"/>
    <w:rsid w:val="00CF25E8"/>
    <w:rsid w:val="00CF4293"/>
    <w:rsid w:val="00D06F00"/>
    <w:rsid w:val="00D14578"/>
    <w:rsid w:val="00D24465"/>
    <w:rsid w:val="00D27BF8"/>
    <w:rsid w:val="00D30D70"/>
    <w:rsid w:val="00D30FF6"/>
    <w:rsid w:val="00D54F1B"/>
    <w:rsid w:val="00D57D7B"/>
    <w:rsid w:val="00D60DA9"/>
    <w:rsid w:val="00D714E2"/>
    <w:rsid w:val="00D7289E"/>
    <w:rsid w:val="00D82CF5"/>
    <w:rsid w:val="00D838A0"/>
    <w:rsid w:val="00D871C4"/>
    <w:rsid w:val="00D8785A"/>
    <w:rsid w:val="00D91349"/>
    <w:rsid w:val="00D92E3B"/>
    <w:rsid w:val="00DB0E95"/>
    <w:rsid w:val="00DB12AD"/>
    <w:rsid w:val="00DC0C4F"/>
    <w:rsid w:val="00DC1213"/>
    <w:rsid w:val="00DC6E1E"/>
    <w:rsid w:val="00DC70F6"/>
    <w:rsid w:val="00DC724A"/>
    <w:rsid w:val="00DD5F49"/>
    <w:rsid w:val="00DF4482"/>
    <w:rsid w:val="00E05651"/>
    <w:rsid w:val="00E068AA"/>
    <w:rsid w:val="00E258FC"/>
    <w:rsid w:val="00E30348"/>
    <w:rsid w:val="00E339EA"/>
    <w:rsid w:val="00E52879"/>
    <w:rsid w:val="00E55791"/>
    <w:rsid w:val="00E56340"/>
    <w:rsid w:val="00E67009"/>
    <w:rsid w:val="00E704FD"/>
    <w:rsid w:val="00E739E5"/>
    <w:rsid w:val="00E74561"/>
    <w:rsid w:val="00E74935"/>
    <w:rsid w:val="00E75D6F"/>
    <w:rsid w:val="00E847C5"/>
    <w:rsid w:val="00E8609B"/>
    <w:rsid w:val="00E92BF0"/>
    <w:rsid w:val="00E94718"/>
    <w:rsid w:val="00E95FFE"/>
    <w:rsid w:val="00EA0820"/>
    <w:rsid w:val="00EB70EA"/>
    <w:rsid w:val="00ED0DCA"/>
    <w:rsid w:val="00ED47A7"/>
    <w:rsid w:val="00EE1EE7"/>
    <w:rsid w:val="00F019E9"/>
    <w:rsid w:val="00F05DFC"/>
    <w:rsid w:val="00F072E8"/>
    <w:rsid w:val="00F143A1"/>
    <w:rsid w:val="00F1480F"/>
    <w:rsid w:val="00F179F3"/>
    <w:rsid w:val="00F2072B"/>
    <w:rsid w:val="00F34277"/>
    <w:rsid w:val="00F4372E"/>
    <w:rsid w:val="00F453FE"/>
    <w:rsid w:val="00F71825"/>
    <w:rsid w:val="00F80169"/>
    <w:rsid w:val="00F81514"/>
    <w:rsid w:val="00F82200"/>
    <w:rsid w:val="00F86352"/>
    <w:rsid w:val="00F87040"/>
    <w:rsid w:val="00F95A32"/>
    <w:rsid w:val="00FA3FD9"/>
    <w:rsid w:val="00FA6AF6"/>
    <w:rsid w:val="00FA7D65"/>
    <w:rsid w:val="00FB593A"/>
    <w:rsid w:val="00FC1AD0"/>
    <w:rsid w:val="00FC20D8"/>
    <w:rsid w:val="00FC72FB"/>
    <w:rsid w:val="00FE08CB"/>
    <w:rsid w:val="00FE0900"/>
    <w:rsid w:val="00FE3C08"/>
    <w:rsid w:val="010D0267"/>
    <w:rsid w:val="010D6400"/>
    <w:rsid w:val="01116D56"/>
    <w:rsid w:val="011C7F2E"/>
    <w:rsid w:val="01466B34"/>
    <w:rsid w:val="015462A2"/>
    <w:rsid w:val="01804EE8"/>
    <w:rsid w:val="01864AED"/>
    <w:rsid w:val="01881F56"/>
    <w:rsid w:val="01B74129"/>
    <w:rsid w:val="01C652D7"/>
    <w:rsid w:val="01E24E7A"/>
    <w:rsid w:val="01E96EEF"/>
    <w:rsid w:val="0206750A"/>
    <w:rsid w:val="02081A95"/>
    <w:rsid w:val="020C3735"/>
    <w:rsid w:val="0213167F"/>
    <w:rsid w:val="021919F7"/>
    <w:rsid w:val="021F5697"/>
    <w:rsid w:val="023E4DC6"/>
    <w:rsid w:val="02443513"/>
    <w:rsid w:val="024C16A6"/>
    <w:rsid w:val="027B6543"/>
    <w:rsid w:val="027C2452"/>
    <w:rsid w:val="0294765E"/>
    <w:rsid w:val="02A23A7B"/>
    <w:rsid w:val="02BE42E8"/>
    <w:rsid w:val="031A6DDF"/>
    <w:rsid w:val="032219B3"/>
    <w:rsid w:val="035F7137"/>
    <w:rsid w:val="0368661B"/>
    <w:rsid w:val="03F50BF8"/>
    <w:rsid w:val="03F757EE"/>
    <w:rsid w:val="040D5006"/>
    <w:rsid w:val="04176B15"/>
    <w:rsid w:val="04250069"/>
    <w:rsid w:val="04332B60"/>
    <w:rsid w:val="044D1A33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396067"/>
    <w:rsid w:val="053962A9"/>
    <w:rsid w:val="05421686"/>
    <w:rsid w:val="054B7C66"/>
    <w:rsid w:val="054E3F97"/>
    <w:rsid w:val="054F7EC4"/>
    <w:rsid w:val="055F3E8F"/>
    <w:rsid w:val="05631304"/>
    <w:rsid w:val="05965B13"/>
    <w:rsid w:val="05AA751F"/>
    <w:rsid w:val="05AB3E4C"/>
    <w:rsid w:val="05C40254"/>
    <w:rsid w:val="05D45DE8"/>
    <w:rsid w:val="05DD3B0E"/>
    <w:rsid w:val="061E71D7"/>
    <w:rsid w:val="064D537E"/>
    <w:rsid w:val="06541F59"/>
    <w:rsid w:val="06551195"/>
    <w:rsid w:val="067056D9"/>
    <w:rsid w:val="067A5C39"/>
    <w:rsid w:val="067F5C8B"/>
    <w:rsid w:val="06883795"/>
    <w:rsid w:val="069258CC"/>
    <w:rsid w:val="06A12B72"/>
    <w:rsid w:val="06D94F62"/>
    <w:rsid w:val="06E930D6"/>
    <w:rsid w:val="06F9688C"/>
    <w:rsid w:val="06FA3145"/>
    <w:rsid w:val="07372476"/>
    <w:rsid w:val="073C0F1E"/>
    <w:rsid w:val="07573824"/>
    <w:rsid w:val="075A5568"/>
    <w:rsid w:val="077046F9"/>
    <w:rsid w:val="07816512"/>
    <w:rsid w:val="0797540B"/>
    <w:rsid w:val="07C51163"/>
    <w:rsid w:val="07F63B68"/>
    <w:rsid w:val="07FE43B3"/>
    <w:rsid w:val="07FF469C"/>
    <w:rsid w:val="08067A83"/>
    <w:rsid w:val="080C2DB1"/>
    <w:rsid w:val="083900EE"/>
    <w:rsid w:val="084F55D9"/>
    <w:rsid w:val="087807B5"/>
    <w:rsid w:val="087C2BF1"/>
    <w:rsid w:val="089C77C7"/>
    <w:rsid w:val="089D4BC3"/>
    <w:rsid w:val="08A367A0"/>
    <w:rsid w:val="08AD693C"/>
    <w:rsid w:val="08CA4673"/>
    <w:rsid w:val="08D24C49"/>
    <w:rsid w:val="08D545C6"/>
    <w:rsid w:val="08D92F9A"/>
    <w:rsid w:val="08E152BA"/>
    <w:rsid w:val="08E3236B"/>
    <w:rsid w:val="08E41C3F"/>
    <w:rsid w:val="08F362FF"/>
    <w:rsid w:val="08F76659"/>
    <w:rsid w:val="092A35DC"/>
    <w:rsid w:val="09733A93"/>
    <w:rsid w:val="09773AD2"/>
    <w:rsid w:val="09912D87"/>
    <w:rsid w:val="099D1F0E"/>
    <w:rsid w:val="09A13012"/>
    <w:rsid w:val="09B8038E"/>
    <w:rsid w:val="09B807DC"/>
    <w:rsid w:val="09B96487"/>
    <w:rsid w:val="09BB1324"/>
    <w:rsid w:val="09DD5F33"/>
    <w:rsid w:val="09E2510B"/>
    <w:rsid w:val="09E2618B"/>
    <w:rsid w:val="0A0D0A5C"/>
    <w:rsid w:val="0A1434BD"/>
    <w:rsid w:val="0A177598"/>
    <w:rsid w:val="0A2A0A4E"/>
    <w:rsid w:val="0A33259C"/>
    <w:rsid w:val="0A670FF2"/>
    <w:rsid w:val="0A902401"/>
    <w:rsid w:val="0AA04A08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867DD4"/>
    <w:rsid w:val="0B8906D5"/>
    <w:rsid w:val="0B990F05"/>
    <w:rsid w:val="0BA163C4"/>
    <w:rsid w:val="0BBA4C3E"/>
    <w:rsid w:val="0BC527E7"/>
    <w:rsid w:val="0BDE30C9"/>
    <w:rsid w:val="0BE9216B"/>
    <w:rsid w:val="0C04199B"/>
    <w:rsid w:val="0C0B0A79"/>
    <w:rsid w:val="0C182984"/>
    <w:rsid w:val="0C233DDB"/>
    <w:rsid w:val="0C243614"/>
    <w:rsid w:val="0C641CE4"/>
    <w:rsid w:val="0C8E4C85"/>
    <w:rsid w:val="0C9A21C7"/>
    <w:rsid w:val="0CBA3E26"/>
    <w:rsid w:val="0CC86926"/>
    <w:rsid w:val="0CCA2E65"/>
    <w:rsid w:val="0CD87B6A"/>
    <w:rsid w:val="0CE70F5A"/>
    <w:rsid w:val="0CED70FB"/>
    <w:rsid w:val="0CF04B26"/>
    <w:rsid w:val="0D274B82"/>
    <w:rsid w:val="0D4813CE"/>
    <w:rsid w:val="0D6718A8"/>
    <w:rsid w:val="0D8A5C4C"/>
    <w:rsid w:val="0D9F59CC"/>
    <w:rsid w:val="0DA826B2"/>
    <w:rsid w:val="0DC46801"/>
    <w:rsid w:val="0DD03A03"/>
    <w:rsid w:val="0DDA5E66"/>
    <w:rsid w:val="0DE30416"/>
    <w:rsid w:val="0DE80CCD"/>
    <w:rsid w:val="0DE92A73"/>
    <w:rsid w:val="0DFC6FB1"/>
    <w:rsid w:val="0E1B6666"/>
    <w:rsid w:val="0E342F61"/>
    <w:rsid w:val="0E546450"/>
    <w:rsid w:val="0E6A657A"/>
    <w:rsid w:val="0E8756CE"/>
    <w:rsid w:val="0E875907"/>
    <w:rsid w:val="0E9E306F"/>
    <w:rsid w:val="0EAE7F1E"/>
    <w:rsid w:val="0EBE485B"/>
    <w:rsid w:val="0ECE319D"/>
    <w:rsid w:val="0EE11FA9"/>
    <w:rsid w:val="0EEE11BD"/>
    <w:rsid w:val="0EF36676"/>
    <w:rsid w:val="0EFF2521"/>
    <w:rsid w:val="0F0E45C0"/>
    <w:rsid w:val="0F121040"/>
    <w:rsid w:val="0F244800"/>
    <w:rsid w:val="0F343655"/>
    <w:rsid w:val="0F644218"/>
    <w:rsid w:val="0F7D1FFA"/>
    <w:rsid w:val="0F824E01"/>
    <w:rsid w:val="0F8E4908"/>
    <w:rsid w:val="0F913335"/>
    <w:rsid w:val="0F96680B"/>
    <w:rsid w:val="0FB60B75"/>
    <w:rsid w:val="0FD96CA9"/>
    <w:rsid w:val="0FDD68DC"/>
    <w:rsid w:val="0FF15BB9"/>
    <w:rsid w:val="0FF906E7"/>
    <w:rsid w:val="0FFD586A"/>
    <w:rsid w:val="10020B62"/>
    <w:rsid w:val="10087FF8"/>
    <w:rsid w:val="1035011A"/>
    <w:rsid w:val="103607AE"/>
    <w:rsid w:val="10384280"/>
    <w:rsid w:val="105D7F23"/>
    <w:rsid w:val="108E0879"/>
    <w:rsid w:val="10C359D9"/>
    <w:rsid w:val="11011524"/>
    <w:rsid w:val="110877A1"/>
    <w:rsid w:val="110D72EA"/>
    <w:rsid w:val="110E7959"/>
    <w:rsid w:val="1119722C"/>
    <w:rsid w:val="1127264D"/>
    <w:rsid w:val="11434434"/>
    <w:rsid w:val="114A05F1"/>
    <w:rsid w:val="115C58D6"/>
    <w:rsid w:val="11604BE2"/>
    <w:rsid w:val="118F4329"/>
    <w:rsid w:val="119F6D5C"/>
    <w:rsid w:val="11A0225A"/>
    <w:rsid w:val="11A922D8"/>
    <w:rsid w:val="11D45AE1"/>
    <w:rsid w:val="11EA2125"/>
    <w:rsid w:val="12023099"/>
    <w:rsid w:val="12373AAE"/>
    <w:rsid w:val="123D7233"/>
    <w:rsid w:val="124D011C"/>
    <w:rsid w:val="125B107A"/>
    <w:rsid w:val="12753E07"/>
    <w:rsid w:val="127B28B7"/>
    <w:rsid w:val="129245E5"/>
    <w:rsid w:val="12C10D7D"/>
    <w:rsid w:val="12CE1204"/>
    <w:rsid w:val="12F06EE1"/>
    <w:rsid w:val="12F32533"/>
    <w:rsid w:val="12F34854"/>
    <w:rsid w:val="13153AEF"/>
    <w:rsid w:val="134F7B0B"/>
    <w:rsid w:val="13683A5C"/>
    <w:rsid w:val="137C5217"/>
    <w:rsid w:val="13917553"/>
    <w:rsid w:val="13B07F3E"/>
    <w:rsid w:val="13B26405"/>
    <w:rsid w:val="13BF5ED3"/>
    <w:rsid w:val="13FD1C15"/>
    <w:rsid w:val="14083C98"/>
    <w:rsid w:val="140876D8"/>
    <w:rsid w:val="14183C16"/>
    <w:rsid w:val="141845E0"/>
    <w:rsid w:val="141C18EA"/>
    <w:rsid w:val="141F1808"/>
    <w:rsid w:val="142E08FB"/>
    <w:rsid w:val="142F47CB"/>
    <w:rsid w:val="142F7B6B"/>
    <w:rsid w:val="1441758D"/>
    <w:rsid w:val="145B1FDF"/>
    <w:rsid w:val="145E7A95"/>
    <w:rsid w:val="146575A3"/>
    <w:rsid w:val="148B15E0"/>
    <w:rsid w:val="15006FBE"/>
    <w:rsid w:val="151F6B5A"/>
    <w:rsid w:val="15212130"/>
    <w:rsid w:val="156542CB"/>
    <w:rsid w:val="158014E9"/>
    <w:rsid w:val="158A5B50"/>
    <w:rsid w:val="159F23B3"/>
    <w:rsid w:val="15A2498C"/>
    <w:rsid w:val="15B66B91"/>
    <w:rsid w:val="15C3420A"/>
    <w:rsid w:val="15E47F68"/>
    <w:rsid w:val="15FF6EEC"/>
    <w:rsid w:val="16041E01"/>
    <w:rsid w:val="161A0996"/>
    <w:rsid w:val="16232CF9"/>
    <w:rsid w:val="16262029"/>
    <w:rsid w:val="16397749"/>
    <w:rsid w:val="16406CEA"/>
    <w:rsid w:val="16562259"/>
    <w:rsid w:val="165B3324"/>
    <w:rsid w:val="16764951"/>
    <w:rsid w:val="167A273E"/>
    <w:rsid w:val="16A61F0D"/>
    <w:rsid w:val="16AC5F02"/>
    <w:rsid w:val="16B27F4D"/>
    <w:rsid w:val="16C77FE5"/>
    <w:rsid w:val="16F47E57"/>
    <w:rsid w:val="16F53AB0"/>
    <w:rsid w:val="17220FF1"/>
    <w:rsid w:val="17320F2E"/>
    <w:rsid w:val="17613E3F"/>
    <w:rsid w:val="17664D13"/>
    <w:rsid w:val="1766777C"/>
    <w:rsid w:val="17676E2A"/>
    <w:rsid w:val="176D41EE"/>
    <w:rsid w:val="1780422F"/>
    <w:rsid w:val="17A75F25"/>
    <w:rsid w:val="17BD6AB4"/>
    <w:rsid w:val="17C023C9"/>
    <w:rsid w:val="17EF5DD9"/>
    <w:rsid w:val="1818083E"/>
    <w:rsid w:val="184253B9"/>
    <w:rsid w:val="18434C37"/>
    <w:rsid w:val="186202E0"/>
    <w:rsid w:val="18655B8E"/>
    <w:rsid w:val="186E43F1"/>
    <w:rsid w:val="18875C71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270D53"/>
    <w:rsid w:val="193337BA"/>
    <w:rsid w:val="19402796"/>
    <w:rsid w:val="19407B9F"/>
    <w:rsid w:val="195254FA"/>
    <w:rsid w:val="195919BF"/>
    <w:rsid w:val="19677C6A"/>
    <w:rsid w:val="19733859"/>
    <w:rsid w:val="198A4DC2"/>
    <w:rsid w:val="199750ED"/>
    <w:rsid w:val="19A57045"/>
    <w:rsid w:val="19AC0EF2"/>
    <w:rsid w:val="19B57275"/>
    <w:rsid w:val="19BE3E90"/>
    <w:rsid w:val="19C11AC9"/>
    <w:rsid w:val="19C37E45"/>
    <w:rsid w:val="19CF40F7"/>
    <w:rsid w:val="19ED0EB9"/>
    <w:rsid w:val="19F21F24"/>
    <w:rsid w:val="1A00617E"/>
    <w:rsid w:val="1A1C2BAB"/>
    <w:rsid w:val="1A1F124B"/>
    <w:rsid w:val="1A210F06"/>
    <w:rsid w:val="1A251079"/>
    <w:rsid w:val="1A28484F"/>
    <w:rsid w:val="1A3573C0"/>
    <w:rsid w:val="1A577219"/>
    <w:rsid w:val="1A58762F"/>
    <w:rsid w:val="1A6D533B"/>
    <w:rsid w:val="1A9D156F"/>
    <w:rsid w:val="1AA80D9B"/>
    <w:rsid w:val="1AA847EC"/>
    <w:rsid w:val="1AAD0BB3"/>
    <w:rsid w:val="1AD01EB8"/>
    <w:rsid w:val="1AD03E52"/>
    <w:rsid w:val="1AD875EC"/>
    <w:rsid w:val="1AE26A3D"/>
    <w:rsid w:val="1AF475AD"/>
    <w:rsid w:val="1AF92EDF"/>
    <w:rsid w:val="1AFD70F0"/>
    <w:rsid w:val="1B0270FF"/>
    <w:rsid w:val="1B181DD9"/>
    <w:rsid w:val="1B2F477F"/>
    <w:rsid w:val="1B68276D"/>
    <w:rsid w:val="1B6C3B7D"/>
    <w:rsid w:val="1B7F0ABE"/>
    <w:rsid w:val="1B834589"/>
    <w:rsid w:val="1BA75872"/>
    <w:rsid w:val="1BAB396E"/>
    <w:rsid w:val="1BB07C7C"/>
    <w:rsid w:val="1BBB692B"/>
    <w:rsid w:val="1BBF0E19"/>
    <w:rsid w:val="1BCD692F"/>
    <w:rsid w:val="1BE23EBD"/>
    <w:rsid w:val="1BFB1528"/>
    <w:rsid w:val="1C2E6201"/>
    <w:rsid w:val="1C302928"/>
    <w:rsid w:val="1C52178E"/>
    <w:rsid w:val="1C68632B"/>
    <w:rsid w:val="1C8D49BF"/>
    <w:rsid w:val="1C9F1651"/>
    <w:rsid w:val="1CEB46F7"/>
    <w:rsid w:val="1D23735C"/>
    <w:rsid w:val="1D54071F"/>
    <w:rsid w:val="1D6451C6"/>
    <w:rsid w:val="1D654C9F"/>
    <w:rsid w:val="1D69417C"/>
    <w:rsid w:val="1D807289"/>
    <w:rsid w:val="1D8E233B"/>
    <w:rsid w:val="1D975DF7"/>
    <w:rsid w:val="1D9B123D"/>
    <w:rsid w:val="1D9E12E8"/>
    <w:rsid w:val="1DCB4927"/>
    <w:rsid w:val="1DD6405C"/>
    <w:rsid w:val="1DDD3571"/>
    <w:rsid w:val="1E190463"/>
    <w:rsid w:val="1E24668A"/>
    <w:rsid w:val="1E2A27A6"/>
    <w:rsid w:val="1E4B2FD7"/>
    <w:rsid w:val="1E645EBF"/>
    <w:rsid w:val="1E7911C9"/>
    <w:rsid w:val="1E7B335B"/>
    <w:rsid w:val="1E8D194D"/>
    <w:rsid w:val="1EA50F33"/>
    <w:rsid w:val="1ED503FA"/>
    <w:rsid w:val="1EE724BA"/>
    <w:rsid w:val="1EFF6434"/>
    <w:rsid w:val="1F311F17"/>
    <w:rsid w:val="1F3A0011"/>
    <w:rsid w:val="1F3A5F92"/>
    <w:rsid w:val="1F701095"/>
    <w:rsid w:val="1F896311"/>
    <w:rsid w:val="1F923DE6"/>
    <w:rsid w:val="1FA42D75"/>
    <w:rsid w:val="1FA610B9"/>
    <w:rsid w:val="1FD024AA"/>
    <w:rsid w:val="1FDC54C4"/>
    <w:rsid w:val="1FEE4C5C"/>
    <w:rsid w:val="1FF012A4"/>
    <w:rsid w:val="1FF23EC9"/>
    <w:rsid w:val="20040834"/>
    <w:rsid w:val="20190666"/>
    <w:rsid w:val="202C1885"/>
    <w:rsid w:val="203B574B"/>
    <w:rsid w:val="20481C9A"/>
    <w:rsid w:val="204A7C68"/>
    <w:rsid w:val="2053493C"/>
    <w:rsid w:val="205E4038"/>
    <w:rsid w:val="2075093F"/>
    <w:rsid w:val="20786BA2"/>
    <w:rsid w:val="207F447D"/>
    <w:rsid w:val="20884263"/>
    <w:rsid w:val="209D6390"/>
    <w:rsid w:val="20A160B2"/>
    <w:rsid w:val="20D105CB"/>
    <w:rsid w:val="20D16460"/>
    <w:rsid w:val="20DD7F39"/>
    <w:rsid w:val="20E24774"/>
    <w:rsid w:val="20F25221"/>
    <w:rsid w:val="21145BE0"/>
    <w:rsid w:val="21440678"/>
    <w:rsid w:val="216365D8"/>
    <w:rsid w:val="2165140C"/>
    <w:rsid w:val="21691F88"/>
    <w:rsid w:val="2187182E"/>
    <w:rsid w:val="218A070F"/>
    <w:rsid w:val="21957939"/>
    <w:rsid w:val="21C1624C"/>
    <w:rsid w:val="21E26EA0"/>
    <w:rsid w:val="21F34D45"/>
    <w:rsid w:val="21F950CF"/>
    <w:rsid w:val="22045432"/>
    <w:rsid w:val="222A3C9E"/>
    <w:rsid w:val="22396FF8"/>
    <w:rsid w:val="22431035"/>
    <w:rsid w:val="225C0846"/>
    <w:rsid w:val="22B0252A"/>
    <w:rsid w:val="22D75BB2"/>
    <w:rsid w:val="22E819D8"/>
    <w:rsid w:val="22F57E73"/>
    <w:rsid w:val="231523F7"/>
    <w:rsid w:val="234B605E"/>
    <w:rsid w:val="235133E3"/>
    <w:rsid w:val="23560A29"/>
    <w:rsid w:val="235F59AB"/>
    <w:rsid w:val="238A4219"/>
    <w:rsid w:val="239051E5"/>
    <w:rsid w:val="23924A0F"/>
    <w:rsid w:val="23987B60"/>
    <w:rsid w:val="239D13E8"/>
    <w:rsid w:val="239F6D5D"/>
    <w:rsid w:val="239F7F68"/>
    <w:rsid w:val="23ED0F94"/>
    <w:rsid w:val="23FC3011"/>
    <w:rsid w:val="240D18BD"/>
    <w:rsid w:val="246E404E"/>
    <w:rsid w:val="247F538E"/>
    <w:rsid w:val="248114CC"/>
    <w:rsid w:val="24A3249E"/>
    <w:rsid w:val="24A62D02"/>
    <w:rsid w:val="24AF069B"/>
    <w:rsid w:val="24AF1929"/>
    <w:rsid w:val="24B63D40"/>
    <w:rsid w:val="24C674E1"/>
    <w:rsid w:val="24C8317D"/>
    <w:rsid w:val="24FA0B67"/>
    <w:rsid w:val="25082A0B"/>
    <w:rsid w:val="252A182D"/>
    <w:rsid w:val="25417958"/>
    <w:rsid w:val="254369E7"/>
    <w:rsid w:val="25494E1D"/>
    <w:rsid w:val="257A74F9"/>
    <w:rsid w:val="25895A3D"/>
    <w:rsid w:val="258D735D"/>
    <w:rsid w:val="259A68BC"/>
    <w:rsid w:val="25D1716B"/>
    <w:rsid w:val="25DF6A97"/>
    <w:rsid w:val="25E6024A"/>
    <w:rsid w:val="25EA0F86"/>
    <w:rsid w:val="26212585"/>
    <w:rsid w:val="26282ED7"/>
    <w:rsid w:val="265B6DE8"/>
    <w:rsid w:val="265F04C1"/>
    <w:rsid w:val="267440C5"/>
    <w:rsid w:val="268C256C"/>
    <w:rsid w:val="269F48BD"/>
    <w:rsid w:val="26A7223A"/>
    <w:rsid w:val="26F23979"/>
    <w:rsid w:val="272A1178"/>
    <w:rsid w:val="272D26C8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E916BA"/>
    <w:rsid w:val="27F10483"/>
    <w:rsid w:val="27FD55EF"/>
    <w:rsid w:val="28022D32"/>
    <w:rsid w:val="28153567"/>
    <w:rsid w:val="28594A6E"/>
    <w:rsid w:val="286B5520"/>
    <w:rsid w:val="287D3F8A"/>
    <w:rsid w:val="28870747"/>
    <w:rsid w:val="288E5631"/>
    <w:rsid w:val="28C32DF1"/>
    <w:rsid w:val="28C534E8"/>
    <w:rsid w:val="28D02103"/>
    <w:rsid w:val="29095837"/>
    <w:rsid w:val="293734A8"/>
    <w:rsid w:val="294E0AA4"/>
    <w:rsid w:val="296735A6"/>
    <w:rsid w:val="296D7E15"/>
    <w:rsid w:val="29962D19"/>
    <w:rsid w:val="29AD3BB2"/>
    <w:rsid w:val="29B4309C"/>
    <w:rsid w:val="29C30BAC"/>
    <w:rsid w:val="29CD7458"/>
    <w:rsid w:val="29D9048F"/>
    <w:rsid w:val="29EF70CC"/>
    <w:rsid w:val="2A1C62F4"/>
    <w:rsid w:val="2A5F0A9A"/>
    <w:rsid w:val="2A802A87"/>
    <w:rsid w:val="2A931BB9"/>
    <w:rsid w:val="2A9D346A"/>
    <w:rsid w:val="2AB51A38"/>
    <w:rsid w:val="2AB903D8"/>
    <w:rsid w:val="2ACD6CCC"/>
    <w:rsid w:val="2ADF720A"/>
    <w:rsid w:val="2AEE4512"/>
    <w:rsid w:val="2B341240"/>
    <w:rsid w:val="2B34584A"/>
    <w:rsid w:val="2B64015F"/>
    <w:rsid w:val="2B644948"/>
    <w:rsid w:val="2B7C6921"/>
    <w:rsid w:val="2B9C4F86"/>
    <w:rsid w:val="2BFE1EDB"/>
    <w:rsid w:val="2C127758"/>
    <w:rsid w:val="2C1A4265"/>
    <w:rsid w:val="2C1F32E8"/>
    <w:rsid w:val="2C2326B1"/>
    <w:rsid w:val="2C26626A"/>
    <w:rsid w:val="2C275841"/>
    <w:rsid w:val="2C3E2651"/>
    <w:rsid w:val="2C4630F8"/>
    <w:rsid w:val="2C636708"/>
    <w:rsid w:val="2C68059F"/>
    <w:rsid w:val="2C6917E7"/>
    <w:rsid w:val="2C756800"/>
    <w:rsid w:val="2CA3554E"/>
    <w:rsid w:val="2CBC0FFA"/>
    <w:rsid w:val="2CC23437"/>
    <w:rsid w:val="2CC27AB8"/>
    <w:rsid w:val="2CC379B0"/>
    <w:rsid w:val="2CEF3C54"/>
    <w:rsid w:val="2CF23870"/>
    <w:rsid w:val="2D006219"/>
    <w:rsid w:val="2D05566F"/>
    <w:rsid w:val="2D0E47C3"/>
    <w:rsid w:val="2D11170D"/>
    <w:rsid w:val="2D13298D"/>
    <w:rsid w:val="2D221D5D"/>
    <w:rsid w:val="2D2A0414"/>
    <w:rsid w:val="2D383726"/>
    <w:rsid w:val="2D386439"/>
    <w:rsid w:val="2D7B766B"/>
    <w:rsid w:val="2D9379FB"/>
    <w:rsid w:val="2D9E7CAE"/>
    <w:rsid w:val="2DBA7FBA"/>
    <w:rsid w:val="2DBE1024"/>
    <w:rsid w:val="2DC6390A"/>
    <w:rsid w:val="2DE16ECB"/>
    <w:rsid w:val="2DE2223D"/>
    <w:rsid w:val="2DE40DD4"/>
    <w:rsid w:val="2E0F2EDB"/>
    <w:rsid w:val="2E145E1D"/>
    <w:rsid w:val="2E18318C"/>
    <w:rsid w:val="2E223E47"/>
    <w:rsid w:val="2E270A97"/>
    <w:rsid w:val="2E3F4045"/>
    <w:rsid w:val="2E406C0B"/>
    <w:rsid w:val="2E4430FB"/>
    <w:rsid w:val="2E4A213E"/>
    <w:rsid w:val="2E5E2F0C"/>
    <w:rsid w:val="2E6A7B7E"/>
    <w:rsid w:val="2E720143"/>
    <w:rsid w:val="2E852BFA"/>
    <w:rsid w:val="2EB72D84"/>
    <w:rsid w:val="2EE359E2"/>
    <w:rsid w:val="2EEC1574"/>
    <w:rsid w:val="2F1B43C7"/>
    <w:rsid w:val="2F5604CA"/>
    <w:rsid w:val="2F592F8F"/>
    <w:rsid w:val="2FA36E63"/>
    <w:rsid w:val="2FC33170"/>
    <w:rsid w:val="2FD352CF"/>
    <w:rsid w:val="2FD66838"/>
    <w:rsid w:val="2FDB72F7"/>
    <w:rsid w:val="300E7DD2"/>
    <w:rsid w:val="301C704F"/>
    <w:rsid w:val="3038011D"/>
    <w:rsid w:val="303C0D37"/>
    <w:rsid w:val="303C3120"/>
    <w:rsid w:val="30647F44"/>
    <w:rsid w:val="30705633"/>
    <w:rsid w:val="30814B77"/>
    <w:rsid w:val="308645E8"/>
    <w:rsid w:val="30A474FE"/>
    <w:rsid w:val="30AE0AAC"/>
    <w:rsid w:val="30AF3ABD"/>
    <w:rsid w:val="30B36B23"/>
    <w:rsid w:val="30CC5260"/>
    <w:rsid w:val="30CD10F6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F43EF2"/>
    <w:rsid w:val="320F656E"/>
    <w:rsid w:val="3229313A"/>
    <w:rsid w:val="322A09EC"/>
    <w:rsid w:val="322E6D47"/>
    <w:rsid w:val="32343227"/>
    <w:rsid w:val="324748F5"/>
    <w:rsid w:val="327945B0"/>
    <w:rsid w:val="32AD5AEA"/>
    <w:rsid w:val="32C3640C"/>
    <w:rsid w:val="32C47E69"/>
    <w:rsid w:val="32DF4B9C"/>
    <w:rsid w:val="32EE5E66"/>
    <w:rsid w:val="32F707FF"/>
    <w:rsid w:val="32FE7982"/>
    <w:rsid w:val="330D52B8"/>
    <w:rsid w:val="331E1C54"/>
    <w:rsid w:val="335A2666"/>
    <w:rsid w:val="33666803"/>
    <w:rsid w:val="33871402"/>
    <w:rsid w:val="338A0060"/>
    <w:rsid w:val="338C018A"/>
    <w:rsid w:val="338C598B"/>
    <w:rsid w:val="33901C94"/>
    <w:rsid w:val="33A045C6"/>
    <w:rsid w:val="33A655BD"/>
    <w:rsid w:val="33AF50D7"/>
    <w:rsid w:val="33C2279E"/>
    <w:rsid w:val="33E6404A"/>
    <w:rsid w:val="34052E84"/>
    <w:rsid w:val="34195765"/>
    <w:rsid w:val="3435099A"/>
    <w:rsid w:val="343B5578"/>
    <w:rsid w:val="34510B5E"/>
    <w:rsid w:val="3465056A"/>
    <w:rsid w:val="346866A1"/>
    <w:rsid w:val="34700522"/>
    <w:rsid w:val="348167F0"/>
    <w:rsid w:val="348C36E4"/>
    <w:rsid w:val="34921598"/>
    <w:rsid w:val="349A1C0D"/>
    <w:rsid w:val="34A75868"/>
    <w:rsid w:val="34A83FD4"/>
    <w:rsid w:val="34C804C4"/>
    <w:rsid w:val="34E261D0"/>
    <w:rsid w:val="34E3740B"/>
    <w:rsid w:val="350D2053"/>
    <w:rsid w:val="350D51A0"/>
    <w:rsid w:val="35286BF7"/>
    <w:rsid w:val="35522321"/>
    <w:rsid w:val="355D53D4"/>
    <w:rsid w:val="35753453"/>
    <w:rsid w:val="3599429E"/>
    <w:rsid w:val="35A73257"/>
    <w:rsid w:val="35B12F84"/>
    <w:rsid w:val="35B57875"/>
    <w:rsid w:val="36033A12"/>
    <w:rsid w:val="362F0086"/>
    <w:rsid w:val="363D403E"/>
    <w:rsid w:val="366D3CBC"/>
    <w:rsid w:val="36750E50"/>
    <w:rsid w:val="36776EAA"/>
    <w:rsid w:val="367C01BA"/>
    <w:rsid w:val="36B77EB7"/>
    <w:rsid w:val="36DE7BD3"/>
    <w:rsid w:val="37592FE4"/>
    <w:rsid w:val="375E20CF"/>
    <w:rsid w:val="377336AC"/>
    <w:rsid w:val="377F502A"/>
    <w:rsid w:val="37804449"/>
    <w:rsid w:val="378A028C"/>
    <w:rsid w:val="37BC42C1"/>
    <w:rsid w:val="37CA1388"/>
    <w:rsid w:val="37CC6ED3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AB3C78"/>
    <w:rsid w:val="38FA192C"/>
    <w:rsid w:val="38FB4BD9"/>
    <w:rsid w:val="39076C11"/>
    <w:rsid w:val="391F2580"/>
    <w:rsid w:val="39221703"/>
    <w:rsid w:val="39283EEC"/>
    <w:rsid w:val="392D67AC"/>
    <w:rsid w:val="3930488C"/>
    <w:rsid w:val="39401394"/>
    <w:rsid w:val="3949055E"/>
    <w:rsid w:val="3968060E"/>
    <w:rsid w:val="398473E8"/>
    <w:rsid w:val="39A644DA"/>
    <w:rsid w:val="39C531C8"/>
    <w:rsid w:val="39E23259"/>
    <w:rsid w:val="39EA289E"/>
    <w:rsid w:val="3A0B2C87"/>
    <w:rsid w:val="3A0E4E62"/>
    <w:rsid w:val="3A0F0F43"/>
    <w:rsid w:val="3A2140D2"/>
    <w:rsid w:val="3A380799"/>
    <w:rsid w:val="3A476B5E"/>
    <w:rsid w:val="3A4B0E8F"/>
    <w:rsid w:val="3A711825"/>
    <w:rsid w:val="3A931991"/>
    <w:rsid w:val="3AA82CF8"/>
    <w:rsid w:val="3AAC5B36"/>
    <w:rsid w:val="3AD06974"/>
    <w:rsid w:val="3ADA42A0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A281B"/>
    <w:rsid w:val="3B896874"/>
    <w:rsid w:val="3B9D4373"/>
    <w:rsid w:val="3BA92EC6"/>
    <w:rsid w:val="3BB663C6"/>
    <w:rsid w:val="3BB94D10"/>
    <w:rsid w:val="3BDE416C"/>
    <w:rsid w:val="3BE70BEC"/>
    <w:rsid w:val="3BFF5F92"/>
    <w:rsid w:val="3C0435A9"/>
    <w:rsid w:val="3C3158BF"/>
    <w:rsid w:val="3C512C6A"/>
    <w:rsid w:val="3C5E6096"/>
    <w:rsid w:val="3C6B63F3"/>
    <w:rsid w:val="3C6D0AA3"/>
    <w:rsid w:val="3C7D446D"/>
    <w:rsid w:val="3C8805E4"/>
    <w:rsid w:val="3C903856"/>
    <w:rsid w:val="3CB05E10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941FD0"/>
    <w:rsid w:val="3DA75BB4"/>
    <w:rsid w:val="3DB73788"/>
    <w:rsid w:val="3DBE7888"/>
    <w:rsid w:val="3DC72FAC"/>
    <w:rsid w:val="3DD4640D"/>
    <w:rsid w:val="3E00648E"/>
    <w:rsid w:val="3E097ED6"/>
    <w:rsid w:val="3E0F619F"/>
    <w:rsid w:val="3E2C07D2"/>
    <w:rsid w:val="3E4B1EC4"/>
    <w:rsid w:val="3E4C5C7B"/>
    <w:rsid w:val="3E4F06BE"/>
    <w:rsid w:val="3E60232E"/>
    <w:rsid w:val="3E6966CC"/>
    <w:rsid w:val="3E6F6349"/>
    <w:rsid w:val="3E7001DF"/>
    <w:rsid w:val="3E815E9D"/>
    <w:rsid w:val="3E8F04CD"/>
    <w:rsid w:val="3EA37326"/>
    <w:rsid w:val="3EA4334C"/>
    <w:rsid w:val="3EC21710"/>
    <w:rsid w:val="3ED07B39"/>
    <w:rsid w:val="3EEE4BA8"/>
    <w:rsid w:val="3F227ECC"/>
    <w:rsid w:val="3F2A1510"/>
    <w:rsid w:val="3F323523"/>
    <w:rsid w:val="3F577277"/>
    <w:rsid w:val="3F59407A"/>
    <w:rsid w:val="3F963935"/>
    <w:rsid w:val="3FBD7ADB"/>
    <w:rsid w:val="3FED10C4"/>
    <w:rsid w:val="3FFD69BE"/>
    <w:rsid w:val="40115E5D"/>
    <w:rsid w:val="40142B28"/>
    <w:rsid w:val="402551CC"/>
    <w:rsid w:val="404C0EDB"/>
    <w:rsid w:val="405A7340"/>
    <w:rsid w:val="406563D6"/>
    <w:rsid w:val="406B7B27"/>
    <w:rsid w:val="408563A3"/>
    <w:rsid w:val="40A1164F"/>
    <w:rsid w:val="40AD7C5B"/>
    <w:rsid w:val="40CD5F0B"/>
    <w:rsid w:val="40DD4729"/>
    <w:rsid w:val="40EB7E0B"/>
    <w:rsid w:val="40F1349D"/>
    <w:rsid w:val="411E2BE4"/>
    <w:rsid w:val="4136428A"/>
    <w:rsid w:val="413A144A"/>
    <w:rsid w:val="41694287"/>
    <w:rsid w:val="416948A9"/>
    <w:rsid w:val="416B194D"/>
    <w:rsid w:val="41BE3E52"/>
    <w:rsid w:val="41C36A02"/>
    <w:rsid w:val="41D8445C"/>
    <w:rsid w:val="41F85D27"/>
    <w:rsid w:val="41F93C0D"/>
    <w:rsid w:val="420E2A1A"/>
    <w:rsid w:val="4237497C"/>
    <w:rsid w:val="424D68DB"/>
    <w:rsid w:val="42565FD0"/>
    <w:rsid w:val="42596CCD"/>
    <w:rsid w:val="425E5FDE"/>
    <w:rsid w:val="427F350F"/>
    <w:rsid w:val="42914340"/>
    <w:rsid w:val="42AF1A12"/>
    <w:rsid w:val="42B008AC"/>
    <w:rsid w:val="43127FA0"/>
    <w:rsid w:val="431D66E9"/>
    <w:rsid w:val="43587C29"/>
    <w:rsid w:val="435C6176"/>
    <w:rsid w:val="43616901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D14618"/>
    <w:rsid w:val="43E63027"/>
    <w:rsid w:val="43F669C3"/>
    <w:rsid w:val="44205D19"/>
    <w:rsid w:val="442C10DA"/>
    <w:rsid w:val="44314B0E"/>
    <w:rsid w:val="446B48FC"/>
    <w:rsid w:val="44785AEE"/>
    <w:rsid w:val="44843CC9"/>
    <w:rsid w:val="44880967"/>
    <w:rsid w:val="44A01A4B"/>
    <w:rsid w:val="44B673AA"/>
    <w:rsid w:val="44D26E80"/>
    <w:rsid w:val="44DB773A"/>
    <w:rsid w:val="44E36D88"/>
    <w:rsid w:val="44F14784"/>
    <w:rsid w:val="450039C1"/>
    <w:rsid w:val="451A32B1"/>
    <w:rsid w:val="451E341B"/>
    <w:rsid w:val="452D6C34"/>
    <w:rsid w:val="454D00BA"/>
    <w:rsid w:val="456951DA"/>
    <w:rsid w:val="45973AD6"/>
    <w:rsid w:val="45A52B1C"/>
    <w:rsid w:val="45AC4CF4"/>
    <w:rsid w:val="45AD524F"/>
    <w:rsid w:val="45AE36B8"/>
    <w:rsid w:val="45CF7FBC"/>
    <w:rsid w:val="45DB635E"/>
    <w:rsid w:val="45F35C5E"/>
    <w:rsid w:val="46400CA9"/>
    <w:rsid w:val="46406C53"/>
    <w:rsid w:val="465A4FCD"/>
    <w:rsid w:val="465B230D"/>
    <w:rsid w:val="4662285A"/>
    <w:rsid w:val="467208A3"/>
    <w:rsid w:val="46810023"/>
    <w:rsid w:val="468354F8"/>
    <w:rsid w:val="46836109"/>
    <w:rsid w:val="468B0189"/>
    <w:rsid w:val="46995FD1"/>
    <w:rsid w:val="46B06667"/>
    <w:rsid w:val="46C35907"/>
    <w:rsid w:val="47032B85"/>
    <w:rsid w:val="47111705"/>
    <w:rsid w:val="4719625B"/>
    <w:rsid w:val="47251050"/>
    <w:rsid w:val="472C0755"/>
    <w:rsid w:val="4745188E"/>
    <w:rsid w:val="476D2EF2"/>
    <w:rsid w:val="476E7A2B"/>
    <w:rsid w:val="477A07F4"/>
    <w:rsid w:val="47B54AA8"/>
    <w:rsid w:val="47BD13B2"/>
    <w:rsid w:val="47BF5406"/>
    <w:rsid w:val="47C073E7"/>
    <w:rsid w:val="47C621A4"/>
    <w:rsid w:val="47DE197A"/>
    <w:rsid w:val="47F04F1C"/>
    <w:rsid w:val="47F261EE"/>
    <w:rsid w:val="4801327C"/>
    <w:rsid w:val="48713429"/>
    <w:rsid w:val="487B3B0A"/>
    <w:rsid w:val="4891605D"/>
    <w:rsid w:val="48D173C6"/>
    <w:rsid w:val="48E02F78"/>
    <w:rsid w:val="48E76F84"/>
    <w:rsid w:val="48F00546"/>
    <w:rsid w:val="4906501C"/>
    <w:rsid w:val="49132398"/>
    <w:rsid w:val="491B5B23"/>
    <w:rsid w:val="493B491E"/>
    <w:rsid w:val="494305AE"/>
    <w:rsid w:val="49550F29"/>
    <w:rsid w:val="498E5DDA"/>
    <w:rsid w:val="499A319C"/>
    <w:rsid w:val="49A75100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C77F8B"/>
    <w:rsid w:val="4AD74EF4"/>
    <w:rsid w:val="4AED5C11"/>
    <w:rsid w:val="4AFF253A"/>
    <w:rsid w:val="4B096721"/>
    <w:rsid w:val="4B151DD8"/>
    <w:rsid w:val="4B2F5A69"/>
    <w:rsid w:val="4B600DBB"/>
    <w:rsid w:val="4B740186"/>
    <w:rsid w:val="4B7467CA"/>
    <w:rsid w:val="4B7A2CD7"/>
    <w:rsid w:val="4B8464B3"/>
    <w:rsid w:val="4B96469A"/>
    <w:rsid w:val="4BB96A99"/>
    <w:rsid w:val="4BD47B3A"/>
    <w:rsid w:val="4BE60345"/>
    <w:rsid w:val="4BF61A49"/>
    <w:rsid w:val="4BFD254C"/>
    <w:rsid w:val="4BFD2BB9"/>
    <w:rsid w:val="4C007D9B"/>
    <w:rsid w:val="4C097E52"/>
    <w:rsid w:val="4C251632"/>
    <w:rsid w:val="4C266DAF"/>
    <w:rsid w:val="4C3C7997"/>
    <w:rsid w:val="4C423D11"/>
    <w:rsid w:val="4C4277B1"/>
    <w:rsid w:val="4C4A7111"/>
    <w:rsid w:val="4C9A635E"/>
    <w:rsid w:val="4CA860AF"/>
    <w:rsid w:val="4CB66E36"/>
    <w:rsid w:val="4CD04687"/>
    <w:rsid w:val="4D09681B"/>
    <w:rsid w:val="4D1A6222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CB0227"/>
    <w:rsid w:val="4DCF155E"/>
    <w:rsid w:val="4DD11AEE"/>
    <w:rsid w:val="4DE22B61"/>
    <w:rsid w:val="4E071018"/>
    <w:rsid w:val="4E1E35A8"/>
    <w:rsid w:val="4E4A36DE"/>
    <w:rsid w:val="4E4B1237"/>
    <w:rsid w:val="4E685D9D"/>
    <w:rsid w:val="4E997F39"/>
    <w:rsid w:val="4EA21170"/>
    <w:rsid w:val="4EA45038"/>
    <w:rsid w:val="4EA535EA"/>
    <w:rsid w:val="4EAA452F"/>
    <w:rsid w:val="4EAB7555"/>
    <w:rsid w:val="4EB16F4D"/>
    <w:rsid w:val="4ED37A9C"/>
    <w:rsid w:val="4EDE0A69"/>
    <w:rsid w:val="4EF438A7"/>
    <w:rsid w:val="4EF74679"/>
    <w:rsid w:val="4F053AD4"/>
    <w:rsid w:val="4F4F7C97"/>
    <w:rsid w:val="4F586DFE"/>
    <w:rsid w:val="4F7F3425"/>
    <w:rsid w:val="4F890EBD"/>
    <w:rsid w:val="4F951D60"/>
    <w:rsid w:val="4FAB27E4"/>
    <w:rsid w:val="4FAD4336"/>
    <w:rsid w:val="4FEA66FB"/>
    <w:rsid w:val="50000326"/>
    <w:rsid w:val="5012456C"/>
    <w:rsid w:val="501B0160"/>
    <w:rsid w:val="5028413A"/>
    <w:rsid w:val="5034185C"/>
    <w:rsid w:val="50662285"/>
    <w:rsid w:val="50935D58"/>
    <w:rsid w:val="509473B7"/>
    <w:rsid w:val="50C85002"/>
    <w:rsid w:val="50D3250E"/>
    <w:rsid w:val="50D33AD4"/>
    <w:rsid w:val="50D565E3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B46BA"/>
    <w:rsid w:val="51D254DA"/>
    <w:rsid w:val="51D67559"/>
    <w:rsid w:val="51DF2711"/>
    <w:rsid w:val="51EB7348"/>
    <w:rsid w:val="51F20232"/>
    <w:rsid w:val="52014309"/>
    <w:rsid w:val="520C36C1"/>
    <w:rsid w:val="520E771E"/>
    <w:rsid w:val="52171AFB"/>
    <w:rsid w:val="522D4979"/>
    <w:rsid w:val="523456B6"/>
    <w:rsid w:val="5235465D"/>
    <w:rsid w:val="52367473"/>
    <w:rsid w:val="523E15D7"/>
    <w:rsid w:val="5249313E"/>
    <w:rsid w:val="52527419"/>
    <w:rsid w:val="525A4669"/>
    <w:rsid w:val="525B22C4"/>
    <w:rsid w:val="526018C0"/>
    <w:rsid w:val="52841F28"/>
    <w:rsid w:val="52AD06F5"/>
    <w:rsid w:val="52BE0F28"/>
    <w:rsid w:val="52D32108"/>
    <w:rsid w:val="52D6356D"/>
    <w:rsid w:val="52F77D67"/>
    <w:rsid w:val="52F836E3"/>
    <w:rsid w:val="532F7394"/>
    <w:rsid w:val="53385FAE"/>
    <w:rsid w:val="534E489F"/>
    <w:rsid w:val="536E730E"/>
    <w:rsid w:val="537C2BD7"/>
    <w:rsid w:val="53971E29"/>
    <w:rsid w:val="53A35F99"/>
    <w:rsid w:val="53E6334F"/>
    <w:rsid w:val="53F158A3"/>
    <w:rsid w:val="53FB17FA"/>
    <w:rsid w:val="541862F0"/>
    <w:rsid w:val="546A6559"/>
    <w:rsid w:val="546F0B91"/>
    <w:rsid w:val="54AE33C2"/>
    <w:rsid w:val="54B70A61"/>
    <w:rsid w:val="54B779B5"/>
    <w:rsid w:val="54D25371"/>
    <w:rsid w:val="54EA3421"/>
    <w:rsid w:val="54EC1FC6"/>
    <w:rsid w:val="54EC416F"/>
    <w:rsid w:val="552C68B9"/>
    <w:rsid w:val="55335647"/>
    <w:rsid w:val="5538682D"/>
    <w:rsid w:val="55476094"/>
    <w:rsid w:val="554A06ED"/>
    <w:rsid w:val="5552614F"/>
    <w:rsid w:val="55530973"/>
    <w:rsid w:val="55560E04"/>
    <w:rsid w:val="55666B45"/>
    <w:rsid w:val="55722092"/>
    <w:rsid w:val="5583167D"/>
    <w:rsid w:val="55995FB7"/>
    <w:rsid w:val="55A156DD"/>
    <w:rsid w:val="55B13035"/>
    <w:rsid w:val="55BD15CA"/>
    <w:rsid w:val="55BD571B"/>
    <w:rsid w:val="55C10548"/>
    <w:rsid w:val="55C244BC"/>
    <w:rsid w:val="55C708F6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534D2A"/>
    <w:rsid w:val="5659691E"/>
    <w:rsid w:val="56635FA9"/>
    <w:rsid w:val="56737273"/>
    <w:rsid w:val="56773C48"/>
    <w:rsid w:val="56A95860"/>
    <w:rsid w:val="56BB5794"/>
    <w:rsid w:val="56C16A07"/>
    <w:rsid w:val="56C56026"/>
    <w:rsid w:val="56C721C1"/>
    <w:rsid w:val="56C75E65"/>
    <w:rsid w:val="56ED49AC"/>
    <w:rsid w:val="57037964"/>
    <w:rsid w:val="570D1D86"/>
    <w:rsid w:val="570E1422"/>
    <w:rsid w:val="573F549A"/>
    <w:rsid w:val="57553D3F"/>
    <w:rsid w:val="57703672"/>
    <w:rsid w:val="5773534B"/>
    <w:rsid w:val="57780B7F"/>
    <w:rsid w:val="57856672"/>
    <w:rsid w:val="578C265D"/>
    <w:rsid w:val="579D25BA"/>
    <w:rsid w:val="57B9331D"/>
    <w:rsid w:val="57B975D7"/>
    <w:rsid w:val="57BB6757"/>
    <w:rsid w:val="57C82DD9"/>
    <w:rsid w:val="57E73B91"/>
    <w:rsid w:val="57F3287F"/>
    <w:rsid w:val="57F45188"/>
    <w:rsid w:val="57F81A83"/>
    <w:rsid w:val="57FA61B1"/>
    <w:rsid w:val="58032997"/>
    <w:rsid w:val="581D6018"/>
    <w:rsid w:val="583F1055"/>
    <w:rsid w:val="58441188"/>
    <w:rsid w:val="58477459"/>
    <w:rsid w:val="58494A10"/>
    <w:rsid w:val="584B2FF5"/>
    <w:rsid w:val="585A018E"/>
    <w:rsid w:val="585B0937"/>
    <w:rsid w:val="585E0241"/>
    <w:rsid w:val="58744829"/>
    <w:rsid w:val="587673AC"/>
    <w:rsid w:val="588562E3"/>
    <w:rsid w:val="5898522B"/>
    <w:rsid w:val="58A045EF"/>
    <w:rsid w:val="58AE0C9D"/>
    <w:rsid w:val="58BD3A38"/>
    <w:rsid w:val="58DC744B"/>
    <w:rsid w:val="58F609E4"/>
    <w:rsid w:val="58FB67BC"/>
    <w:rsid w:val="5930657D"/>
    <w:rsid w:val="59327DEB"/>
    <w:rsid w:val="59392E42"/>
    <w:rsid w:val="593B5B55"/>
    <w:rsid w:val="593D19BE"/>
    <w:rsid w:val="597D137C"/>
    <w:rsid w:val="599D01FE"/>
    <w:rsid w:val="59AF4353"/>
    <w:rsid w:val="59CB134C"/>
    <w:rsid w:val="59D13042"/>
    <w:rsid w:val="59EA652F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A34E07"/>
    <w:rsid w:val="5AD937F3"/>
    <w:rsid w:val="5ADB5FCA"/>
    <w:rsid w:val="5AE30663"/>
    <w:rsid w:val="5AE36AFC"/>
    <w:rsid w:val="5AE47198"/>
    <w:rsid w:val="5AEF3CA7"/>
    <w:rsid w:val="5AF16F61"/>
    <w:rsid w:val="5AFB0199"/>
    <w:rsid w:val="5B0001EA"/>
    <w:rsid w:val="5B2D4307"/>
    <w:rsid w:val="5B5041D6"/>
    <w:rsid w:val="5B554FD4"/>
    <w:rsid w:val="5B6B25D0"/>
    <w:rsid w:val="5B6B4549"/>
    <w:rsid w:val="5BAD031C"/>
    <w:rsid w:val="5BB36D0A"/>
    <w:rsid w:val="5BD03C5A"/>
    <w:rsid w:val="5BD33975"/>
    <w:rsid w:val="5BDA3BB3"/>
    <w:rsid w:val="5BDA775F"/>
    <w:rsid w:val="5BEA7806"/>
    <w:rsid w:val="5BED1355"/>
    <w:rsid w:val="5C035D5C"/>
    <w:rsid w:val="5C054372"/>
    <w:rsid w:val="5C0B1081"/>
    <w:rsid w:val="5C2E76F3"/>
    <w:rsid w:val="5C531DAC"/>
    <w:rsid w:val="5C5F19A2"/>
    <w:rsid w:val="5C6742FC"/>
    <w:rsid w:val="5C7870C9"/>
    <w:rsid w:val="5C793AF2"/>
    <w:rsid w:val="5C7E008D"/>
    <w:rsid w:val="5C885120"/>
    <w:rsid w:val="5C8D094F"/>
    <w:rsid w:val="5CAA3CDC"/>
    <w:rsid w:val="5CC14996"/>
    <w:rsid w:val="5CDB13F1"/>
    <w:rsid w:val="5CE42BFC"/>
    <w:rsid w:val="5D08718A"/>
    <w:rsid w:val="5D33075C"/>
    <w:rsid w:val="5D38401E"/>
    <w:rsid w:val="5D42131E"/>
    <w:rsid w:val="5D4B0C7E"/>
    <w:rsid w:val="5D65772A"/>
    <w:rsid w:val="5D787E7B"/>
    <w:rsid w:val="5DA30012"/>
    <w:rsid w:val="5DC93120"/>
    <w:rsid w:val="5DDA6F3B"/>
    <w:rsid w:val="5DDB5F91"/>
    <w:rsid w:val="5E282729"/>
    <w:rsid w:val="5E2C3252"/>
    <w:rsid w:val="5E39000D"/>
    <w:rsid w:val="5E5007AD"/>
    <w:rsid w:val="5E5126D4"/>
    <w:rsid w:val="5E575A00"/>
    <w:rsid w:val="5E5B33A6"/>
    <w:rsid w:val="5EEC29C3"/>
    <w:rsid w:val="5EF527AD"/>
    <w:rsid w:val="5F0241A8"/>
    <w:rsid w:val="5F031737"/>
    <w:rsid w:val="5F1A1471"/>
    <w:rsid w:val="5F1B570F"/>
    <w:rsid w:val="5F4013BA"/>
    <w:rsid w:val="5F515252"/>
    <w:rsid w:val="5F882D2B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D47EB"/>
    <w:rsid w:val="60240F4A"/>
    <w:rsid w:val="602A2F0C"/>
    <w:rsid w:val="602F3018"/>
    <w:rsid w:val="605E48C7"/>
    <w:rsid w:val="606A7181"/>
    <w:rsid w:val="608D0DC2"/>
    <w:rsid w:val="60CF4513"/>
    <w:rsid w:val="60D87E5D"/>
    <w:rsid w:val="60F668B8"/>
    <w:rsid w:val="60FC46B7"/>
    <w:rsid w:val="61002168"/>
    <w:rsid w:val="61172DD5"/>
    <w:rsid w:val="6138206E"/>
    <w:rsid w:val="614D3C7D"/>
    <w:rsid w:val="616270EF"/>
    <w:rsid w:val="61706EDF"/>
    <w:rsid w:val="619B1498"/>
    <w:rsid w:val="619B3BCB"/>
    <w:rsid w:val="61C5760F"/>
    <w:rsid w:val="61CB09F2"/>
    <w:rsid w:val="61F34165"/>
    <w:rsid w:val="62053AEE"/>
    <w:rsid w:val="62426D4A"/>
    <w:rsid w:val="62842199"/>
    <w:rsid w:val="62904A5E"/>
    <w:rsid w:val="62B6346C"/>
    <w:rsid w:val="62C4291E"/>
    <w:rsid w:val="62C65CEC"/>
    <w:rsid w:val="62F27D6D"/>
    <w:rsid w:val="631814C9"/>
    <w:rsid w:val="632F7DE7"/>
    <w:rsid w:val="6347606A"/>
    <w:rsid w:val="635E620F"/>
    <w:rsid w:val="6368049F"/>
    <w:rsid w:val="636A3EC3"/>
    <w:rsid w:val="636A6F4B"/>
    <w:rsid w:val="63793000"/>
    <w:rsid w:val="63A94A31"/>
    <w:rsid w:val="63AC1EAC"/>
    <w:rsid w:val="63B93BEF"/>
    <w:rsid w:val="63C90B49"/>
    <w:rsid w:val="63C910E5"/>
    <w:rsid w:val="63CC75B9"/>
    <w:rsid w:val="63E30C41"/>
    <w:rsid w:val="63FE1629"/>
    <w:rsid w:val="640673D9"/>
    <w:rsid w:val="641E6EE2"/>
    <w:rsid w:val="64275148"/>
    <w:rsid w:val="64326B19"/>
    <w:rsid w:val="645214CF"/>
    <w:rsid w:val="64820F2D"/>
    <w:rsid w:val="6487530B"/>
    <w:rsid w:val="64BA39D7"/>
    <w:rsid w:val="64CF3CAA"/>
    <w:rsid w:val="64D96235"/>
    <w:rsid w:val="650F5FAC"/>
    <w:rsid w:val="652D2807"/>
    <w:rsid w:val="656033A2"/>
    <w:rsid w:val="65815AA0"/>
    <w:rsid w:val="658855D4"/>
    <w:rsid w:val="658867B3"/>
    <w:rsid w:val="659B42A0"/>
    <w:rsid w:val="65A8095A"/>
    <w:rsid w:val="65F1238A"/>
    <w:rsid w:val="65F35604"/>
    <w:rsid w:val="65FF3198"/>
    <w:rsid w:val="663B062F"/>
    <w:rsid w:val="663E4EF3"/>
    <w:rsid w:val="66471F83"/>
    <w:rsid w:val="665A01D2"/>
    <w:rsid w:val="6688533A"/>
    <w:rsid w:val="66BB442F"/>
    <w:rsid w:val="66D02521"/>
    <w:rsid w:val="67097AAB"/>
    <w:rsid w:val="670C3488"/>
    <w:rsid w:val="672E09CF"/>
    <w:rsid w:val="67365DB5"/>
    <w:rsid w:val="677507BF"/>
    <w:rsid w:val="6792126C"/>
    <w:rsid w:val="67A97CFB"/>
    <w:rsid w:val="67CF5A1D"/>
    <w:rsid w:val="67DA135C"/>
    <w:rsid w:val="67EB7F24"/>
    <w:rsid w:val="67EC006A"/>
    <w:rsid w:val="680328B7"/>
    <w:rsid w:val="680D5EE5"/>
    <w:rsid w:val="68107593"/>
    <w:rsid w:val="684D1BE5"/>
    <w:rsid w:val="68651677"/>
    <w:rsid w:val="686F261C"/>
    <w:rsid w:val="687E3602"/>
    <w:rsid w:val="688F77C3"/>
    <w:rsid w:val="68A9751A"/>
    <w:rsid w:val="68AC366C"/>
    <w:rsid w:val="68B329E9"/>
    <w:rsid w:val="69030906"/>
    <w:rsid w:val="692C4F44"/>
    <w:rsid w:val="69326C25"/>
    <w:rsid w:val="697D4944"/>
    <w:rsid w:val="697E2DEE"/>
    <w:rsid w:val="699B3DF9"/>
    <w:rsid w:val="69E1523E"/>
    <w:rsid w:val="6A377133"/>
    <w:rsid w:val="6A3802AF"/>
    <w:rsid w:val="6A382142"/>
    <w:rsid w:val="6A3E6B57"/>
    <w:rsid w:val="6A4E7EC9"/>
    <w:rsid w:val="6A650E8F"/>
    <w:rsid w:val="6A7F0672"/>
    <w:rsid w:val="6A8243F3"/>
    <w:rsid w:val="6AA25847"/>
    <w:rsid w:val="6ADE4B51"/>
    <w:rsid w:val="6AEB550E"/>
    <w:rsid w:val="6AF47AD0"/>
    <w:rsid w:val="6B0B7792"/>
    <w:rsid w:val="6B18387B"/>
    <w:rsid w:val="6B213C7A"/>
    <w:rsid w:val="6B2726B5"/>
    <w:rsid w:val="6B3D4519"/>
    <w:rsid w:val="6B4943C4"/>
    <w:rsid w:val="6B5760AD"/>
    <w:rsid w:val="6B6356A7"/>
    <w:rsid w:val="6B6F75D9"/>
    <w:rsid w:val="6B7753BB"/>
    <w:rsid w:val="6B7A6C48"/>
    <w:rsid w:val="6B8223B8"/>
    <w:rsid w:val="6BA303EE"/>
    <w:rsid w:val="6BCA3451"/>
    <w:rsid w:val="6BD57A1A"/>
    <w:rsid w:val="6BE52340"/>
    <w:rsid w:val="6BEA317F"/>
    <w:rsid w:val="6C077B7C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225A73"/>
    <w:rsid w:val="6D4B705D"/>
    <w:rsid w:val="6D711A3E"/>
    <w:rsid w:val="6D8D0D90"/>
    <w:rsid w:val="6D96046C"/>
    <w:rsid w:val="6DC91D5B"/>
    <w:rsid w:val="6DD50561"/>
    <w:rsid w:val="6DD95830"/>
    <w:rsid w:val="6DF021A3"/>
    <w:rsid w:val="6E124286"/>
    <w:rsid w:val="6E134309"/>
    <w:rsid w:val="6E1A1F69"/>
    <w:rsid w:val="6E3B5323"/>
    <w:rsid w:val="6E4F38F8"/>
    <w:rsid w:val="6E657BB2"/>
    <w:rsid w:val="6E793023"/>
    <w:rsid w:val="6E7F7AFB"/>
    <w:rsid w:val="6EB770BA"/>
    <w:rsid w:val="6EB96505"/>
    <w:rsid w:val="6ED43ACF"/>
    <w:rsid w:val="6EDF1CCE"/>
    <w:rsid w:val="6EEA71F0"/>
    <w:rsid w:val="6EEC600B"/>
    <w:rsid w:val="6F2B434D"/>
    <w:rsid w:val="6F2C5B46"/>
    <w:rsid w:val="6F2D78EE"/>
    <w:rsid w:val="6F4947DA"/>
    <w:rsid w:val="6F4E71A8"/>
    <w:rsid w:val="6F70301C"/>
    <w:rsid w:val="6F781F55"/>
    <w:rsid w:val="6F7C562E"/>
    <w:rsid w:val="6FB93CAC"/>
    <w:rsid w:val="6FB95193"/>
    <w:rsid w:val="6FE60D34"/>
    <w:rsid w:val="6FEE7F40"/>
    <w:rsid w:val="70015EAC"/>
    <w:rsid w:val="70093C44"/>
    <w:rsid w:val="7013025E"/>
    <w:rsid w:val="70150176"/>
    <w:rsid w:val="706A4129"/>
    <w:rsid w:val="70747A02"/>
    <w:rsid w:val="7076111A"/>
    <w:rsid w:val="70B73E00"/>
    <w:rsid w:val="70F2796B"/>
    <w:rsid w:val="710F1765"/>
    <w:rsid w:val="71102404"/>
    <w:rsid w:val="711A1C30"/>
    <w:rsid w:val="711D088F"/>
    <w:rsid w:val="711E6ABB"/>
    <w:rsid w:val="71230870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D6274F"/>
    <w:rsid w:val="72033A39"/>
    <w:rsid w:val="726E4C9E"/>
    <w:rsid w:val="7289516B"/>
    <w:rsid w:val="729310B6"/>
    <w:rsid w:val="72CD0489"/>
    <w:rsid w:val="72DB349B"/>
    <w:rsid w:val="72E10CF1"/>
    <w:rsid w:val="72E16E78"/>
    <w:rsid w:val="72EA15F7"/>
    <w:rsid w:val="73062CBE"/>
    <w:rsid w:val="73297EB2"/>
    <w:rsid w:val="73497FD2"/>
    <w:rsid w:val="735765E8"/>
    <w:rsid w:val="73611BAF"/>
    <w:rsid w:val="7368643D"/>
    <w:rsid w:val="73794A20"/>
    <w:rsid w:val="738A6877"/>
    <w:rsid w:val="739C4779"/>
    <w:rsid w:val="73A2442B"/>
    <w:rsid w:val="73AA6208"/>
    <w:rsid w:val="73C832AF"/>
    <w:rsid w:val="73E52982"/>
    <w:rsid w:val="73FA0625"/>
    <w:rsid w:val="74024A09"/>
    <w:rsid w:val="7422148A"/>
    <w:rsid w:val="74472CC7"/>
    <w:rsid w:val="748330DD"/>
    <w:rsid w:val="7485747A"/>
    <w:rsid w:val="748D3B91"/>
    <w:rsid w:val="74963991"/>
    <w:rsid w:val="74B71854"/>
    <w:rsid w:val="74FD176E"/>
    <w:rsid w:val="75132281"/>
    <w:rsid w:val="754C1C51"/>
    <w:rsid w:val="755F4608"/>
    <w:rsid w:val="7564660F"/>
    <w:rsid w:val="7571106C"/>
    <w:rsid w:val="757918F4"/>
    <w:rsid w:val="75886342"/>
    <w:rsid w:val="758A779D"/>
    <w:rsid w:val="758E7458"/>
    <w:rsid w:val="75B9274E"/>
    <w:rsid w:val="75F83FB4"/>
    <w:rsid w:val="75F9318E"/>
    <w:rsid w:val="75FC2E47"/>
    <w:rsid w:val="760E47B2"/>
    <w:rsid w:val="76631090"/>
    <w:rsid w:val="76703988"/>
    <w:rsid w:val="7672217C"/>
    <w:rsid w:val="76A12DC3"/>
    <w:rsid w:val="76D15B17"/>
    <w:rsid w:val="77186B1E"/>
    <w:rsid w:val="77645C7D"/>
    <w:rsid w:val="777439C1"/>
    <w:rsid w:val="778B1158"/>
    <w:rsid w:val="77961505"/>
    <w:rsid w:val="77B15DF4"/>
    <w:rsid w:val="77B856B5"/>
    <w:rsid w:val="78076895"/>
    <w:rsid w:val="78091695"/>
    <w:rsid w:val="78151AE7"/>
    <w:rsid w:val="781D0ABF"/>
    <w:rsid w:val="782B5948"/>
    <w:rsid w:val="78602ABF"/>
    <w:rsid w:val="78665FE4"/>
    <w:rsid w:val="786E0FFE"/>
    <w:rsid w:val="78A93133"/>
    <w:rsid w:val="78C37715"/>
    <w:rsid w:val="78D02FB6"/>
    <w:rsid w:val="78E43768"/>
    <w:rsid w:val="78E47082"/>
    <w:rsid w:val="78FD3867"/>
    <w:rsid w:val="79214FA6"/>
    <w:rsid w:val="79367FB8"/>
    <w:rsid w:val="79392A29"/>
    <w:rsid w:val="79583AEC"/>
    <w:rsid w:val="795C7162"/>
    <w:rsid w:val="797812D7"/>
    <w:rsid w:val="799D7539"/>
    <w:rsid w:val="799F72C4"/>
    <w:rsid w:val="79A20557"/>
    <w:rsid w:val="79AB7A8E"/>
    <w:rsid w:val="79AC0207"/>
    <w:rsid w:val="79CB5BC6"/>
    <w:rsid w:val="79D0709A"/>
    <w:rsid w:val="79E554A8"/>
    <w:rsid w:val="79FD492D"/>
    <w:rsid w:val="7A087CF7"/>
    <w:rsid w:val="7A13564A"/>
    <w:rsid w:val="7A303322"/>
    <w:rsid w:val="7A7F6A39"/>
    <w:rsid w:val="7A9A2995"/>
    <w:rsid w:val="7A9E37B9"/>
    <w:rsid w:val="7AA85A57"/>
    <w:rsid w:val="7AA97571"/>
    <w:rsid w:val="7AD1328F"/>
    <w:rsid w:val="7AF26D81"/>
    <w:rsid w:val="7AF464E6"/>
    <w:rsid w:val="7AF6549D"/>
    <w:rsid w:val="7B014170"/>
    <w:rsid w:val="7B1A61F8"/>
    <w:rsid w:val="7B5C346C"/>
    <w:rsid w:val="7B5E5C27"/>
    <w:rsid w:val="7B652196"/>
    <w:rsid w:val="7B762D9E"/>
    <w:rsid w:val="7B784952"/>
    <w:rsid w:val="7B7C479D"/>
    <w:rsid w:val="7B7E15E7"/>
    <w:rsid w:val="7B920A5D"/>
    <w:rsid w:val="7BA1455F"/>
    <w:rsid w:val="7BCC7A90"/>
    <w:rsid w:val="7BDC1294"/>
    <w:rsid w:val="7BE975D0"/>
    <w:rsid w:val="7BF2190A"/>
    <w:rsid w:val="7C010589"/>
    <w:rsid w:val="7C160D02"/>
    <w:rsid w:val="7C1637C1"/>
    <w:rsid w:val="7C1E537F"/>
    <w:rsid w:val="7C4706AF"/>
    <w:rsid w:val="7C526D30"/>
    <w:rsid w:val="7C574088"/>
    <w:rsid w:val="7C5D6386"/>
    <w:rsid w:val="7C921F5C"/>
    <w:rsid w:val="7C9D2374"/>
    <w:rsid w:val="7CAC42FA"/>
    <w:rsid w:val="7CD97C96"/>
    <w:rsid w:val="7CEA2FFC"/>
    <w:rsid w:val="7CF36D0A"/>
    <w:rsid w:val="7CFD68A1"/>
    <w:rsid w:val="7D004B90"/>
    <w:rsid w:val="7D09176A"/>
    <w:rsid w:val="7D15262A"/>
    <w:rsid w:val="7D21528B"/>
    <w:rsid w:val="7D295788"/>
    <w:rsid w:val="7D431D8D"/>
    <w:rsid w:val="7D7D4F75"/>
    <w:rsid w:val="7D937F07"/>
    <w:rsid w:val="7DA008E1"/>
    <w:rsid w:val="7DAA286B"/>
    <w:rsid w:val="7DB954F6"/>
    <w:rsid w:val="7DC07247"/>
    <w:rsid w:val="7DC62F24"/>
    <w:rsid w:val="7DCA4DE2"/>
    <w:rsid w:val="7DDE5DE0"/>
    <w:rsid w:val="7DE93C91"/>
    <w:rsid w:val="7DFC10B6"/>
    <w:rsid w:val="7E0B2B81"/>
    <w:rsid w:val="7E0E7FD0"/>
    <w:rsid w:val="7E1B6002"/>
    <w:rsid w:val="7E1F4180"/>
    <w:rsid w:val="7E433210"/>
    <w:rsid w:val="7E575AC2"/>
    <w:rsid w:val="7E580C80"/>
    <w:rsid w:val="7E68207B"/>
    <w:rsid w:val="7E8B6473"/>
    <w:rsid w:val="7E950FE9"/>
    <w:rsid w:val="7EA454D3"/>
    <w:rsid w:val="7EC009E8"/>
    <w:rsid w:val="7ED16523"/>
    <w:rsid w:val="7EE83A26"/>
    <w:rsid w:val="7EF96B1E"/>
    <w:rsid w:val="7F1A7969"/>
    <w:rsid w:val="7F353C06"/>
    <w:rsid w:val="7F410352"/>
    <w:rsid w:val="7F440F7A"/>
    <w:rsid w:val="7F510226"/>
    <w:rsid w:val="7F5E5DAF"/>
    <w:rsid w:val="7F633EFB"/>
    <w:rsid w:val="7F634386"/>
    <w:rsid w:val="7FBF3E86"/>
    <w:rsid w:val="7FCA7309"/>
    <w:rsid w:val="7FDC725C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semiHidden="0" w:name="heading 4"/>
    <w:lsdException w:qFormat="1" w:uiPriority="9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name="header"/>
    <w:lsdException w:qFormat="1" w:uiPriority="99" w:name="footer"/>
    <w:lsdException w:uiPriority="99" w:name="index heading"/>
    <w:lsdException w:qFormat="1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="16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3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32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33"/>
    <w:qFormat/>
    <w:uiPriority w:val="0"/>
    <w:pPr>
      <w:numPr>
        <w:ilvl w:val="2"/>
      </w:numPr>
      <w:spacing w:before="120"/>
      <w:outlineLvl w:val="2"/>
    </w:pPr>
    <w:rPr>
      <w:sz w:val="24"/>
    </w:rPr>
  </w:style>
  <w:style w:type="paragraph" w:styleId="5">
    <w:name w:val="heading 4"/>
    <w:basedOn w:val="4"/>
    <w:next w:val="1"/>
    <w:unhideWhenUsed/>
    <w:qFormat/>
    <w:uiPriority w:val="9"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6">
    <w:name w:val="heading 5"/>
    <w:basedOn w:val="5"/>
    <w:next w:val="1"/>
    <w:unhideWhenUsed/>
    <w:qFormat/>
    <w:uiPriority w:val="9"/>
    <w:pPr>
      <w:spacing w:before="10" w:after="10" w:line="240" w:lineRule="auto"/>
      <w:outlineLvl w:val="4"/>
    </w:pPr>
    <w:rPr>
      <w:rFonts w:ascii="Times New Roman" w:hAnsi="Times New Roman" w:eastAsia="宋体"/>
      <w:sz w:val="21"/>
      <w:u w:val="single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List 3"/>
    <w:basedOn w:val="10"/>
    <w:qFormat/>
    <w:uiPriority w:val="0"/>
    <w:pPr>
      <w:ind w:left="1135"/>
    </w:pPr>
  </w:style>
  <w:style w:type="paragraph" w:styleId="10">
    <w:name w:val="List 2"/>
    <w:basedOn w:val="11"/>
    <w:qFormat/>
    <w:uiPriority w:val="0"/>
    <w:pPr>
      <w:ind w:left="851"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caption"/>
    <w:basedOn w:val="1"/>
    <w:next w:val="1"/>
    <w:unhideWhenUsed/>
    <w:qFormat/>
    <w:uiPriority w:val="99"/>
    <w:rPr>
      <w:rFonts w:ascii="Arial" w:hAnsi="Arial" w:eastAsia="黑体"/>
      <w:sz w:val="20"/>
    </w:rPr>
  </w:style>
  <w:style w:type="paragraph" w:styleId="13">
    <w:name w:val="Document Map"/>
    <w:basedOn w:val="1"/>
    <w:link w:val="52"/>
    <w:semiHidden/>
    <w:unhideWhenUsed/>
    <w:qFormat/>
    <w:uiPriority w:val="99"/>
    <w:rPr>
      <w:rFonts w:ascii="宋体"/>
      <w:sz w:val="18"/>
      <w:szCs w:val="18"/>
    </w:rPr>
  </w:style>
  <w:style w:type="paragraph" w:styleId="14">
    <w:name w:val="annotation text"/>
    <w:basedOn w:val="1"/>
    <w:link w:val="34"/>
    <w:qFormat/>
    <w:uiPriority w:val="0"/>
  </w:style>
  <w:style w:type="paragraph" w:styleId="15">
    <w:name w:val="Body Text"/>
    <w:basedOn w:val="1"/>
    <w:qFormat/>
    <w:uiPriority w:val="0"/>
    <w:pPr>
      <w:spacing w:after="120"/>
    </w:pPr>
    <w:rPr>
      <w:rFonts w:ascii="Times" w:hAnsi="Times"/>
      <w:szCs w:val="24"/>
    </w:rPr>
  </w:style>
  <w:style w:type="paragraph" w:styleId="16">
    <w:name w:val="Balloon Text"/>
    <w:basedOn w:val="1"/>
    <w:link w:val="30"/>
    <w:semiHidden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35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36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  <w:jc w:val="left"/>
    </w:pPr>
    <w:rPr>
      <w:b/>
      <w:bCs/>
      <w:i/>
      <w:iCs/>
      <w:sz w:val="20"/>
    </w:rPr>
  </w:style>
  <w:style w:type="paragraph" w:styleId="20">
    <w:name w:val="List 4"/>
    <w:basedOn w:val="9"/>
    <w:qFormat/>
    <w:uiPriority w:val="0"/>
    <w:pPr>
      <w:ind w:left="1418"/>
    </w:pPr>
  </w:style>
  <w:style w:type="paragraph" w:styleId="21">
    <w:name w:val="Normal (Web)"/>
    <w:basedOn w:val="1"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4"/>
    <w:next w:val="14"/>
    <w:link w:val="42"/>
    <w:semiHidden/>
    <w:unhideWhenUsed/>
    <w:qFormat/>
    <w:uiPriority w:val="99"/>
    <w:pPr>
      <w:jc w:val="left"/>
    </w:pPr>
    <w:rPr>
      <w:b/>
      <w:bCs/>
    </w:rPr>
  </w:style>
  <w:style w:type="table" w:styleId="24">
    <w:name w:val="Table Grid"/>
    <w:basedOn w:val="23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Strong"/>
    <w:basedOn w:val="25"/>
    <w:qFormat/>
    <w:uiPriority w:val="22"/>
    <w:rPr>
      <w:b/>
    </w:rPr>
  </w:style>
  <w:style w:type="character" w:styleId="27">
    <w:name w:val="page number"/>
    <w:basedOn w:val="25"/>
    <w:semiHidden/>
    <w:qFormat/>
    <w:uiPriority w:val="0"/>
  </w:style>
  <w:style w:type="character" w:styleId="28">
    <w:name w:val="Hyperlink"/>
    <w:basedOn w:val="25"/>
    <w:qFormat/>
    <w:uiPriority w:val="99"/>
    <w:rPr>
      <w:color w:val="0000FF"/>
      <w:u w:val="single"/>
    </w:rPr>
  </w:style>
  <w:style w:type="character" w:styleId="29">
    <w:name w:val="annotation reference"/>
    <w:qFormat/>
    <w:uiPriority w:val="0"/>
    <w:rPr>
      <w:sz w:val="16"/>
    </w:rPr>
  </w:style>
  <w:style w:type="character" w:customStyle="1" w:styleId="30">
    <w:name w:val="批注框文本 字符"/>
    <w:basedOn w:val="25"/>
    <w:link w:val="1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1">
    <w:name w:val="标题 1 字符"/>
    <w:basedOn w:val="25"/>
    <w:link w:val="2"/>
    <w:qFormat/>
    <w:uiPriority w:val="0"/>
    <w:rPr>
      <w:rFonts w:ascii="Arial" w:hAnsi="Arial" w:eastAsia="MS Mincho" w:cs="Times New Roman"/>
      <w:sz w:val="32"/>
      <w:szCs w:val="20"/>
    </w:rPr>
  </w:style>
  <w:style w:type="character" w:customStyle="1" w:styleId="32">
    <w:name w:val="标题 2 字符"/>
    <w:basedOn w:val="25"/>
    <w:link w:val="3"/>
    <w:qFormat/>
    <w:uiPriority w:val="0"/>
    <w:rPr>
      <w:rFonts w:ascii="Arial" w:hAnsi="Arial" w:eastAsia="MS Mincho" w:cs="Times New Roman"/>
      <w:sz w:val="28"/>
      <w:szCs w:val="20"/>
    </w:rPr>
  </w:style>
  <w:style w:type="character" w:customStyle="1" w:styleId="33">
    <w:name w:val="标题 3 字符"/>
    <w:basedOn w:val="25"/>
    <w:link w:val="4"/>
    <w:qFormat/>
    <w:uiPriority w:val="0"/>
    <w:rPr>
      <w:rFonts w:ascii="Arial" w:hAnsi="Arial" w:eastAsia="MS Mincho" w:cs="Times New Roman"/>
      <w:sz w:val="24"/>
      <w:szCs w:val="20"/>
    </w:rPr>
  </w:style>
  <w:style w:type="character" w:customStyle="1" w:styleId="34">
    <w:name w:val="批注文字 字符"/>
    <w:basedOn w:val="25"/>
    <w:link w:val="14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35">
    <w:name w:val="页脚 字符"/>
    <w:basedOn w:val="25"/>
    <w:link w:val="1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6">
    <w:name w:val="页眉 字符"/>
    <w:basedOn w:val="25"/>
    <w:link w:val="18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37">
    <w:name w:val="References"/>
    <w:basedOn w:val="1"/>
    <w:qFormat/>
    <w:uiPriority w:val="0"/>
    <w:pPr>
      <w:numPr>
        <w:ilvl w:val="0"/>
        <w:numId w:val="2"/>
      </w:numPr>
      <w:spacing w:after="60"/>
    </w:pPr>
    <w:rPr>
      <w:szCs w:val="16"/>
    </w:rPr>
  </w:style>
  <w:style w:type="paragraph" w:styleId="38">
    <w:name w:val="List Paragraph"/>
    <w:basedOn w:val="1"/>
    <w:link w:val="44"/>
    <w:qFormat/>
    <w:uiPriority w:val="34"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39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40">
    <w:name w:val="font11"/>
    <w:basedOn w:val="25"/>
    <w:qFormat/>
    <w:uiPriority w:val="0"/>
    <w:rPr>
      <w:rFonts w:hint="default" w:ascii="Symbol" w:hAnsi="Symbol" w:cs="Symbol"/>
      <w:b/>
      <w:color w:val="000000"/>
      <w:sz w:val="20"/>
      <w:szCs w:val="20"/>
      <w:u w:val="none"/>
    </w:rPr>
  </w:style>
  <w:style w:type="character" w:customStyle="1" w:styleId="41">
    <w:name w:val="font01"/>
    <w:basedOn w:val="25"/>
    <w:qFormat/>
    <w:uiPriority w:val="0"/>
    <w:rPr>
      <w:rFonts w:hint="default" w:ascii="Symbol" w:hAnsi="Symbol" w:cs="Symbol"/>
      <w:color w:val="000000"/>
      <w:sz w:val="20"/>
      <w:szCs w:val="20"/>
      <w:u w:val="none"/>
    </w:rPr>
  </w:style>
  <w:style w:type="character" w:customStyle="1" w:styleId="42">
    <w:name w:val="批注主题 字符"/>
    <w:basedOn w:val="34"/>
    <w:link w:val="22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0"/>
    </w:rPr>
  </w:style>
  <w:style w:type="paragraph" w:customStyle="1" w:styleId="4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character" w:customStyle="1" w:styleId="44">
    <w:name w:val="列表段落 字符"/>
    <w:link w:val="38"/>
    <w:qFormat/>
    <w:uiPriority w:val="34"/>
    <w:rPr>
      <w:rFonts w:ascii="Times New Roman" w:hAnsi="Times New Roman" w:eastAsia="Times New Roman" w:cs="Times New Roman"/>
      <w:kern w:val="2"/>
      <w:sz w:val="24"/>
      <w:szCs w:val="24"/>
    </w:rPr>
  </w:style>
  <w:style w:type="character" w:styleId="45">
    <w:name w:val="Placeholder Text"/>
    <w:basedOn w:val="25"/>
    <w:unhideWhenUsed/>
    <w:qFormat/>
    <w:uiPriority w:val="99"/>
    <w:rPr>
      <w:color w:val="808080"/>
    </w:rPr>
  </w:style>
  <w:style w:type="paragraph" w:customStyle="1" w:styleId="46">
    <w:name w:val="x_msonormal"/>
    <w:basedOn w:val="1"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eastAsia="en-GB"/>
    </w:rPr>
  </w:style>
  <w:style w:type="character" w:customStyle="1" w:styleId="47">
    <w:name w:val="x_apple-converted-space"/>
    <w:qFormat/>
    <w:uiPriority w:val="0"/>
  </w:style>
  <w:style w:type="paragraph" w:customStyle="1" w:styleId="48">
    <w:name w:val="TAH"/>
    <w:basedOn w:val="49"/>
    <w:qFormat/>
    <w:uiPriority w:val="0"/>
    <w:rPr>
      <w:b/>
    </w:rPr>
  </w:style>
  <w:style w:type="paragraph" w:customStyle="1" w:styleId="49">
    <w:name w:val="TAC"/>
    <w:basedOn w:val="50"/>
    <w:qFormat/>
    <w:uiPriority w:val="0"/>
    <w:pPr>
      <w:jc w:val="center"/>
    </w:pPr>
  </w:style>
  <w:style w:type="paragraph" w:customStyle="1" w:styleId="50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1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52">
    <w:name w:val="文档结构图 字符"/>
    <w:basedOn w:val="25"/>
    <w:link w:val="13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53">
    <w:name w:val="修订2"/>
    <w:hidden/>
    <w:unhideWhenUsed/>
    <w:qFormat/>
    <w:uiPriority w:val="99"/>
    <w:pPr>
      <w:spacing w:after="160" w:line="259" w:lineRule="auto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54">
    <w:name w:val="xmsonormal"/>
    <w:basedOn w:val="1"/>
    <w:qFormat/>
    <w:uiPriority w:val="0"/>
    <w:pPr>
      <w:spacing w:before="100" w:beforeAutospacing="1" w:after="100" w:afterAutospacing="1"/>
    </w:pPr>
    <w:rPr>
      <w:rFonts w:ascii="Calibri" w:hAnsi="Calibri" w:eastAsia="Calibri" w:cs="Calibri"/>
      <w:sz w:val="22"/>
      <w:szCs w:val="22"/>
    </w:rPr>
  </w:style>
  <w:style w:type="character" w:customStyle="1" w:styleId="55">
    <w:name w:val="apple-converted-space"/>
    <w:basedOn w:val="25"/>
    <w:qFormat/>
    <w:uiPriority w:val="0"/>
  </w:style>
  <w:style w:type="paragraph" w:customStyle="1" w:styleId="56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57">
    <w:name w:val="x_xmsonormal"/>
    <w:basedOn w:val="1"/>
    <w:qFormat/>
    <w:uiPriority w:val="0"/>
    <w:rPr>
      <w:rFonts w:ascii="宋体" w:hAnsi="宋体" w:cs="Calibri"/>
      <w:sz w:val="24"/>
    </w:rPr>
  </w:style>
  <w:style w:type="paragraph" w:customStyle="1" w:styleId="58">
    <w:name w:val="YJ-Observation"/>
    <w:basedOn w:val="1"/>
    <w:qFormat/>
    <w:uiPriority w:val="0"/>
    <w:pPr>
      <w:numPr>
        <w:ilvl w:val="0"/>
        <w:numId w:val="3"/>
      </w:numPr>
      <w:tabs>
        <w:tab w:val="left" w:pos="420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59">
    <w:name w:val="3GPP Normal Text"/>
    <w:basedOn w:val="15"/>
    <w:qFormat/>
    <w:uiPriority w:val="0"/>
    <w:pPr>
      <w:spacing w:after="60"/>
    </w:pPr>
    <w:rPr>
      <w:rFonts w:ascii="Times New Roman" w:hAnsi="Times New Roman" w:eastAsia="MS Mincho"/>
    </w:rPr>
  </w:style>
  <w:style w:type="paragraph" w:customStyle="1" w:styleId="60">
    <w:name w:val="List Paragraph1"/>
    <w:basedOn w:val="1"/>
    <w:qFormat/>
    <w:uiPriority w:val="0"/>
    <w:pPr>
      <w:widowControl w:val="0"/>
      <w:spacing w:beforeLines="0" w:afterLines="0" w:line="240" w:lineRule="auto"/>
      <w:ind w:firstLine="420" w:firstLineChars="200"/>
    </w:pPr>
    <w:rPr>
      <w:rFonts w:ascii="Calibri" w:hAnsi="Calibri"/>
      <w:szCs w:val="21"/>
    </w:rPr>
  </w:style>
  <w:style w:type="paragraph" w:customStyle="1" w:styleId="61">
    <w:name w:val="YJ-Proposal"/>
    <w:basedOn w:val="1"/>
    <w:qFormat/>
    <w:uiPriority w:val="0"/>
    <w:pPr>
      <w:numPr>
        <w:ilvl w:val="0"/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character" w:customStyle="1" w:styleId="62">
    <w:name w:val="contentpasted2"/>
    <w:basedOn w:val="25"/>
    <w:qFormat/>
    <w:uiPriority w:val="0"/>
  </w:style>
  <w:style w:type="paragraph" w:customStyle="1" w:styleId="63">
    <w:name w:val="TH"/>
    <w:basedOn w:val="1"/>
    <w:qFormat/>
    <w:uiPriority w:val="0"/>
    <w:pPr>
      <w:keepNext/>
      <w:keepLines/>
      <w:spacing w:before="60" w:after="180"/>
      <w:jc w:val="center"/>
    </w:pPr>
    <w:rPr>
      <w:rFonts w:ascii="Arial" w:hAnsi="Arial" w:eastAsia="Times New Roman"/>
      <w:b/>
      <w:sz w:val="20"/>
      <w:lang w:val="en-GB"/>
    </w:rPr>
  </w:style>
  <w:style w:type="paragraph" w:customStyle="1" w:styleId="64">
    <w:name w:val="B1"/>
    <w:basedOn w:val="11"/>
    <w:qFormat/>
    <w:uiPriority w:val="0"/>
  </w:style>
  <w:style w:type="paragraph" w:customStyle="1" w:styleId="65">
    <w:name w:val="B2"/>
    <w:basedOn w:val="10"/>
    <w:qFormat/>
    <w:uiPriority w:val="0"/>
  </w:style>
  <w:style w:type="paragraph" w:customStyle="1" w:styleId="66">
    <w:name w:val="B3"/>
    <w:basedOn w:val="9"/>
    <w:qFormat/>
    <w:uiPriority w:val="0"/>
  </w:style>
  <w:style w:type="paragraph" w:customStyle="1" w:styleId="67">
    <w:name w:val="B4"/>
    <w:basedOn w:val="20"/>
    <w:qFormat/>
    <w:uiPriority w:val="0"/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listparagraph"/>
    <w:basedOn w:val="1"/>
    <w:qFormat/>
    <w:uiPriority w:val="99"/>
    <w:pPr>
      <w:spacing w:line="252" w:lineRule="auto"/>
      <w:ind w:left="720"/>
    </w:pPr>
    <w:rPr>
      <w:rFonts w:ascii="Calibri" w:hAnsi="Calibri" w:eastAsia="Calibri" w:cs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FCE833-29B5-4AD4-BD1D-CCC5839F41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2903</Words>
  <Characters>16549</Characters>
  <Lines>137</Lines>
  <Paragraphs>38</Paragraphs>
  <TotalTime>30</TotalTime>
  <ScaleCrop>false</ScaleCrop>
  <LinksUpToDate>false</LinksUpToDate>
  <CharactersWithSpaces>19414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2022-09-29T12:33:00Z</dcterms:created>
  <dc:creator>YuzhouHu</dc:creator>
  <cp:lastModifiedBy>ZTE, Mengzhu</cp:lastModifiedBy>
  <dcterms:modified xsi:type="dcterms:W3CDTF">2023-09-28T03:01:57Z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30958AF78EA6469AB33173FBD8C42C89</vt:lpwstr>
  </property>
</Properties>
</file>